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86483610"/>
        <w:docPartObj>
          <w:docPartGallery w:val="Cover Pages"/>
          <w:docPartUnique/>
        </w:docPartObj>
      </w:sdtPr>
      <w:sdtContent>
        <w:p w:rsidR="0014664C" w:rsidRDefault="002D540D">
          <w:r>
            <w:rPr>
              <w:noProof/>
              <w:lang w:eastAsia="cs-CZ"/>
            </w:rPr>
            <w:pict>
              <v:rect id="Obdélník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Název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4664C" w:rsidRDefault="0014664C">
                          <w:pPr>
                            <w:pStyle w:val="Nzev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STRATEGICKÝ PLÁN</w:t>
                          </w:r>
                          <w:r w:rsidR="002A5EA9"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 xml:space="preserve"> MČ PRAHA – LYSOLAJE 2021-2024</w:t>
                          </w:r>
                        </w:p>
                      </w:sdtContent>
                    </w:sdt>
                    <w:p w:rsidR="0014664C" w:rsidRDefault="0014664C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1"/>
                          <w:szCs w:val="21"/>
                        </w:rPr>
                        <w:alias w:val="Resumé"/>
                        <w:id w:val="307982498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14664C" w:rsidRDefault="0014664C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cs-CZ"/>
            </w:rPr>
            <w:pict>
              <v:rect id="Obdélník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Podtitul"/>
                        <w:id w:val="1090039369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14664C" w:rsidRDefault="0014664C">
                          <w:pPr>
                            <w:pStyle w:val="Podtitu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14664C" w:rsidRDefault="0014664C"/>
        <w:p w:rsidR="0014664C" w:rsidRDefault="0014664C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84605423"/>
        <w:docPartObj>
          <w:docPartGallery w:val="Table of Contents"/>
          <w:docPartUnique/>
        </w:docPartObj>
      </w:sdtPr>
      <w:sdtContent>
        <w:p w:rsidR="0014664C" w:rsidRDefault="0014664C">
          <w:pPr>
            <w:pStyle w:val="Nadpisobsahu"/>
          </w:pPr>
          <w:r>
            <w:t>Obsah</w:t>
          </w:r>
        </w:p>
        <w:p w:rsidR="005E3343" w:rsidRDefault="002D540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2D540D">
            <w:fldChar w:fldCharType="begin"/>
          </w:r>
          <w:r w:rsidR="0014664C">
            <w:instrText xml:space="preserve"> TOC \o "1-3" \h \z \u </w:instrText>
          </w:r>
          <w:r w:rsidRPr="002D540D">
            <w:fldChar w:fldCharType="separate"/>
          </w:r>
          <w:hyperlink w:anchor="_Toc341100072" w:history="1">
            <w:r w:rsidR="005E3343" w:rsidRPr="005A440C">
              <w:rPr>
                <w:rStyle w:val="Hypertextovodkaz"/>
                <w:noProof/>
              </w:rPr>
              <w:t>1.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Úvod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73" w:history="1">
            <w:r w:rsidR="005E3343" w:rsidRPr="005A440C">
              <w:rPr>
                <w:rStyle w:val="Hypertextovodkaz"/>
                <w:noProof/>
              </w:rPr>
              <w:t>2.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Realizace a monitoring strategického plánu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76" w:history="1">
            <w:r w:rsidR="005E3343" w:rsidRPr="005A440C">
              <w:rPr>
                <w:rStyle w:val="Hypertextovodkaz"/>
                <w:noProof/>
              </w:rPr>
              <w:t>2.1.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Realizace strategického plánu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77" w:history="1">
            <w:r w:rsidR="005E3343" w:rsidRPr="005A440C">
              <w:rPr>
                <w:rStyle w:val="Hypertextovodkaz"/>
                <w:noProof/>
              </w:rPr>
              <w:t>2.2.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Organizační změny – systém projektového řízení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78" w:history="1">
            <w:r w:rsidR="005E3343" w:rsidRPr="005A440C">
              <w:rPr>
                <w:rStyle w:val="Hypertextovodkaz"/>
                <w:noProof/>
              </w:rPr>
              <w:t>2.3.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Závazný proces přípravy a realizace rozvojových projektů – implementační cyklus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79" w:history="1">
            <w:r w:rsidR="005E3343" w:rsidRPr="005A440C">
              <w:rPr>
                <w:rStyle w:val="Hypertextovodkaz"/>
                <w:noProof/>
              </w:rPr>
              <w:t>2.4.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Indikátory plnění cílů strategického plánu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80" w:history="1">
            <w:r w:rsidR="005E3343" w:rsidRPr="005A440C">
              <w:rPr>
                <w:rStyle w:val="Hypertextovodkaz"/>
                <w:noProof/>
              </w:rPr>
              <w:t>3.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Rekapitulace zapojení veřejnosti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81" w:history="1">
            <w:r w:rsidR="005E3343" w:rsidRPr="005A440C">
              <w:rPr>
                <w:rStyle w:val="Hypertextovodkaz"/>
                <w:noProof/>
              </w:rPr>
              <w:t>4.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5E3343" w:rsidRPr="005A440C">
              <w:rPr>
                <w:rStyle w:val="Hypertextovodkaz"/>
                <w:noProof/>
              </w:rPr>
              <w:t>Akční plán a jeho vazba na rozpočet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3343" w:rsidRDefault="002D540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41100082" w:history="1">
            <w:r w:rsidR="005E3343" w:rsidRPr="005A440C">
              <w:rPr>
                <w:rStyle w:val="Hypertextovodkaz"/>
                <w:noProof/>
              </w:rPr>
              <w:t>5.</w:t>
            </w:r>
            <w:r w:rsidR="005E3343">
              <w:rPr>
                <w:rFonts w:eastAsiaTheme="minorEastAsia"/>
                <w:noProof/>
                <w:lang w:eastAsia="cs-CZ"/>
              </w:rPr>
              <w:tab/>
            </w:r>
            <w:r w:rsidR="002A5EA9">
              <w:rPr>
                <w:rStyle w:val="Hypertextovodkaz"/>
                <w:noProof/>
              </w:rPr>
              <w:t>Akční plán na rok 2021</w:t>
            </w:r>
            <w:r w:rsidR="005E33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3343">
              <w:rPr>
                <w:noProof/>
                <w:webHidden/>
              </w:rPr>
              <w:instrText xml:space="preserve"> PAGEREF _Toc341100082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334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64C" w:rsidRDefault="002D540D">
          <w:r>
            <w:rPr>
              <w:b/>
              <w:bCs/>
            </w:rPr>
            <w:fldChar w:fldCharType="end"/>
          </w:r>
        </w:p>
      </w:sdtContent>
    </w:sdt>
    <w:p w:rsidR="0014664C" w:rsidRDefault="0014664C">
      <w:r>
        <w:br w:type="page"/>
      </w:r>
    </w:p>
    <w:p w:rsidR="0014664C" w:rsidRDefault="0014664C" w:rsidP="0014664C">
      <w:pPr>
        <w:pStyle w:val="Nadpis1"/>
        <w:numPr>
          <w:ilvl w:val="0"/>
          <w:numId w:val="1"/>
        </w:numPr>
      </w:pPr>
      <w:bookmarkStart w:id="0" w:name="_Toc341100072"/>
      <w:r>
        <w:lastRenderedPageBreak/>
        <w:t>Úvod</w:t>
      </w:r>
      <w:bookmarkEnd w:id="0"/>
    </w:p>
    <w:p w:rsidR="00E1156B" w:rsidRDefault="002E52CE" w:rsidP="002E52CE">
      <w:pPr>
        <w:jc w:val="both"/>
      </w:pPr>
      <w:r>
        <w:t>Realizační část představuje popis přístupů a postupů, které umožní úspěšně zrealizovat priority a opatření, které jsou</w:t>
      </w:r>
      <w:r w:rsidR="00725930">
        <w:t xml:space="preserve"> definované v návrhové části. Ve druhé </w:t>
      </w:r>
      <w:r>
        <w:t xml:space="preserve">kapitole jsou navrženy principy realizace a monitoringu strategického plánu. Je </w:t>
      </w:r>
      <w:r w:rsidR="00725930">
        <w:t>v ní</w:t>
      </w:r>
      <w:r>
        <w:t xml:space="preserve"> shrnuto rozdělení kompetencí a garantů jednotlivých opatření i zapojení veřejnosti. Pro realizaci jednotlivých opatření je navržena sada monitorovacích indikátorů. V závěrečné kapitole je zpracován akční plán pro rok</w:t>
      </w:r>
      <w:r w:rsidR="002A5EA9">
        <w:t xml:space="preserve"> 2021</w:t>
      </w:r>
      <w:r>
        <w:t>. Tento plán vychází z popisu jednotlivých opatření a z hodnoce</w:t>
      </w:r>
      <w:r w:rsidR="009F2C98">
        <w:t xml:space="preserve">ní jejich potřebnosti. </w:t>
      </w:r>
      <w:r>
        <w:t>Na základě toho byly vy</w:t>
      </w:r>
      <w:r w:rsidR="009F2C98">
        <w:t>brány aktivity, které se městská</w:t>
      </w:r>
      <w:r>
        <w:t xml:space="preserve"> čás</w:t>
      </w:r>
      <w:r w:rsidR="002A5EA9">
        <w:t>t rozhodla realizovat v roce 2021</w:t>
      </w:r>
      <w:r>
        <w:t xml:space="preserve">. </w:t>
      </w:r>
    </w:p>
    <w:p w:rsidR="0014664C" w:rsidRDefault="0014664C" w:rsidP="002E52CE">
      <w:pPr>
        <w:jc w:val="both"/>
        <w:rPr>
          <w:b/>
        </w:rPr>
      </w:pPr>
    </w:p>
    <w:p w:rsidR="0014664C" w:rsidRDefault="0014664C" w:rsidP="0014664C">
      <w:pPr>
        <w:pStyle w:val="Nadpis1"/>
        <w:numPr>
          <w:ilvl w:val="0"/>
          <w:numId w:val="1"/>
        </w:numPr>
      </w:pPr>
      <w:bookmarkStart w:id="1" w:name="_Toc341100073"/>
      <w:r>
        <w:t>Realizace a monitoring strategického plánu</w:t>
      </w:r>
      <w:bookmarkEnd w:id="1"/>
    </w:p>
    <w:p w:rsidR="0014664C" w:rsidRPr="0014664C" w:rsidRDefault="0014664C" w:rsidP="0014664C"/>
    <w:p w:rsidR="002E52CE" w:rsidRPr="002E52CE" w:rsidRDefault="002E52CE" w:rsidP="002E52CE">
      <w:pPr>
        <w:jc w:val="both"/>
        <w:rPr>
          <w:b/>
        </w:rPr>
      </w:pPr>
      <w:r w:rsidRPr="002E52CE">
        <w:rPr>
          <w:b/>
        </w:rPr>
        <w:t>Návrh realizace a monitoringu strategického plánu se skládá ze čtyř hlavních témat:</w:t>
      </w:r>
    </w:p>
    <w:p w:rsidR="002E52CE" w:rsidRDefault="002E52CE" w:rsidP="002E52CE">
      <w:pPr>
        <w:jc w:val="both"/>
      </w:pPr>
      <w:r>
        <w:t>• realizace strategického plánu vč. rozdělení kompetencí</w:t>
      </w:r>
    </w:p>
    <w:p w:rsidR="002E52CE" w:rsidRDefault="002E52CE" w:rsidP="002E52CE">
      <w:pPr>
        <w:jc w:val="both"/>
      </w:pPr>
      <w:r>
        <w:t>• vytvoření systému projektového řízení (organizační změny)</w:t>
      </w:r>
    </w:p>
    <w:p w:rsidR="002E52CE" w:rsidRDefault="002E52CE" w:rsidP="002E52CE">
      <w:pPr>
        <w:jc w:val="both"/>
      </w:pPr>
      <w:r>
        <w:t>• zavedení projektového cyklu (příprava a realizace jednotlivých projektů)</w:t>
      </w:r>
    </w:p>
    <w:p w:rsidR="002E52CE" w:rsidRDefault="002E52CE" w:rsidP="002E52CE">
      <w:pPr>
        <w:jc w:val="both"/>
      </w:pPr>
      <w:r>
        <w:t>• monitorovací indikátory realizace strategického plánu</w:t>
      </w:r>
    </w:p>
    <w:p w:rsidR="0014664C" w:rsidRDefault="0014664C" w:rsidP="002E52CE">
      <w:pPr>
        <w:jc w:val="both"/>
      </w:pPr>
    </w:p>
    <w:p w:rsidR="0014664C" w:rsidRPr="0014664C" w:rsidRDefault="0014664C" w:rsidP="0014664C">
      <w:pPr>
        <w:pStyle w:val="Odstavecseseznamem"/>
        <w:keepNext/>
        <w:keepLines/>
        <w:numPr>
          <w:ilvl w:val="0"/>
          <w:numId w:val="5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2" w:name="_Toc341091096"/>
      <w:bookmarkStart w:id="3" w:name="_Toc341098033"/>
      <w:bookmarkStart w:id="4" w:name="_Toc341100074"/>
      <w:bookmarkEnd w:id="2"/>
      <w:bookmarkEnd w:id="3"/>
      <w:bookmarkEnd w:id="4"/>
    </w:p>
    <w:p w:rsidR="0014664C" w:rsidRPr="0014664C" w:rsidRDefault="0014664C" w:rsidP="0014664C">
      <w:pPr>
        <w:pStyle w:val="Odstavecseseznamem"/>
        <w:keepNext/>
        <w:keepLines/>
        <w:numPr>
          <w:ilvl w:val="0"/>
          <w:numId w:val="5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4F81BD" w:themeColor="accent1"/>
          <w:sz w:val="26"/>
          <w:szCs w:val="26"/>
        </w:rPr>
      </w:pPr>
      <w:bookmarkStart w:id="5" w:name="_Toc341091097"/>
      <w:bookmarkStart w:id="6" w:name="_Toc341098034"/>
      <w:bookmarkStart w:id="7" w:name="_Toc341100075"/>
      <w:bookmarkEnd w:id="5"/>
      <w:bookmarkEnd w:id="6"/>
      <w:bookmarkEnd w:id="7"/>
    </w:p>
    <w:p w:rsidR="002E52CE" w:rsidRDefault="002E52CE" w:rsidP="0014664C">
      <w:pPr>
        <w:pStyle w:val="Nadpis2"/>
        <w:numPr>
          <w:ilvl w:val="1"/>
          <w:numId w:val="5"/>
        </w:numPr>
      </w:pPr>
      <w:bookmarkStart w:id="8" w:name="_Toc341100076"/>
      <w:r w:rsidRPr="0014664C">
        <w:t>Realizace strategického plánu</w:t>
      </w:r>
      <w:bookmarkEnd w:id="8"/>
    </w:p>
    <w:p w:rsidR="0014664C" w:rsidRPr="0014664C" w:rsidRDefault="0014664C" w:rsidP="0014664C"/>
    <w:p w:rsidR="002E52CE" w:rsidRPr="002E52CE" w:rsidRDefault="002E52CE" w:rsidP="002E52CE">
      <w:pPr>
        <w:jc w:val="both"/>
        <w:rPr>
          <w:b/>
        </w:rPr>
      </w:pPr>
      <w:r w:rsidRPr="002E52CE">
        <w:rPr>
          <w:b/>
        </w:rPr>
        <w:t>Realizace a aktualizace strategického plánu</w:t>
      </w:r>
    </w:p>
    <w:p w:rsidR="002E52CE" w:rsidRDefault="002E52CE" w:rsidP="002E52CE">
      <w:pPr>
        <w:jc w:val="both"/>
      </w:pPr>
      <w:r>
        <w:t xml:space="preserve">Strategický plán je připraven pro období </w:t>
      </w:r>
      <w:r w:rsidR="002A5EA9">
        <w:t>4</w:t>
      </w:r>
      <w:r>
        <w:t xml:space="preserve"> let</w:t>
      </w:r>
      <w:r w:rsidR="00725930">
        <w:t>.</w:t>
      </w:r>
      <w:r>
        <w:t xml:space="preserve"> Vzhledem k načasování programových období EU a s tím souvisejícími dotačními příležitostmi lze za cílový rok realizace str</w:t>
      </w:r>
      <w:r w:rsidR="0058541C">
        <w:t>ategického plánu označit rok 202</w:t>
      </w:r>
      <w:r w:rsidR="002A5EA9">
        <w:t>4</w:t>
      </w:r>
      <w:r>
        <w:t>.</w:t>
      </w:r>
    </w:p>
    <w:p w:rsidR="002E52CE" w:rsidRDefault="002E52CE" w:rsidP="002E52CE">
      <w:pPr>
        <w:jc w:val="both"/>
      </w:pPr>
      <w:r>
        <w:t xml:space="preserve">Pro jednotlivé roky během realizace strategického plánu budou připraveny akční plány zahrnující konkrétní projekty a akce pro daný </w:t>
      </w:r>
      <w:r w:rsidR="002A5EA9">
        <w:t>rok. K roku 2024</w:t>
      </w:r>
      <w:r>
        <w:t xml:space="preserve"> se předpokládá provedení aktualizace strategického plánu při zohlednění změn, které do té doby nastanou, a projektů a akcí, které do té doby budou realizované.</w:t>
      </w:r>
    </w:p>
    <w:p w:rsidR="002E52CE" w:rsidRDefault="002E52CE" w:rsidP="002E52CE">
      <w:pPr>
        <w:jc w:val="both"/>
      </w:pPr>
    </w:p>
    <w:p w:rsidR="002E52CE" w:rsidRPr="002E52CE" w:rsidRDefault="002E52CE" w:rsidP="002E52CE">
      <w:pPr>
        <w:jc w:val="both"/>
        <w:rPr>
          <w:b/>
        </w:rPr>
      </w:pPr>
      <w:r w:rsidRPr="002E52CE">
        <w:rPr>
          <w:b/>
        </w:rPr>
        <w:t>Rozdělení kompetencí</w:t>
      </w:r>
    </w:p>
    <w:p w:rsidR="002E52CE" w:rsidRDefault="002E52CE" w:rsidP="002E52CE">
      <w:pPr>
        <w:jc w:val="both"/>
      </w:pPr>
      <w:r>
        <w:lastRenderedPageBreak/>
        <w:t>Návrhová část strategického plánu byla připravena s ohledem na kompetence a možnosti MČ, které jsou často výrazně menší než skutečné potřeby městské části. Z tohoto důvodu zahrnuje strategický plán různé typy aktivit (přímé investiční a neinvestiční akce, nepřímé intervence, organizační aktivity), jejichž realizace vyžaduje odlišný přístup. V zásadě platí, že za realizaci strategického plánu zodpovídají následující subjekty:</w:t>
      </w:r>
    </w:p>
    <w:p w:rsidR="002E52CE" w:rsidRDefault="002E52CE" w:rsidP="002E52CE">
      <w:pPr>
        <w:jc w:val="both"/>
      </w:pPr>
      <w:r>
        <w:t>• strategický tým MČ Praha-Lysolaje</w:t>
      </w:r>
      <w:r w:rsidR="004A27EB">
        <w:t xml:space="preserve"> </w:t>
      </w:r>
    </w:p>
    <w:p w:rsidR="002E52CE" w:rsidRDefault="002E52CE" w:rsidP="002E52CE">
      <w:pPr>
        <w:jc w:val="both"/>
      </w:pPr>
      <w:r>
        <w:t>• projektový manažer</w:t>
      </w:r>
    </w:p>
    <w:p w:rsidR="002E52CE" w:rsidRDefault="002E52CE" w:rsidP="002E52CE">
      <w:pPr>
        <w:jc w:val="both"/>
      </w:pPr>
      <w:r>
        <w:t>• garanti jednotlivých opatření</w:t>
      </w:r>
    </w:p>
    <w:p w:rsidR="00C62C36" w:rsidRDefault="002E52CE" w:rsidP="002E52CE">
      <w:pPr>
        <w:jc w:val="both"/>
      </w:pPr>
      <w:r>
        <w:t>Strategický tým představuje orgán s klíčovou rozhodovací a schvalovací pr</w:t>
      </w:r>
      <w:r w:rsidR="0014664C">
        <w:t>a</w:t>
      </w:r>
      <w:r>
        <w:t>vomocí</w:t>
      </w:r>
      <w:r w:rsidR="002F280C">
        <w:t>. Skládá se z těchto členů</w:t>
      </w:r>
      <w:bookmarkStart w:id="9" w:name="_GoBack"/>
      <w:bookmarkEnd w:id="9"/>
      <w:r w:rsidR="00C62C36">
        <w:t xml:space="preserve">: </w:t>
      </w:r>
    </w:p>
    <w:p w:rsidR="00C62C36" w:rsidRDefault="00C62C36" w:rsidP="00C62C36">
      <w:pPr>
        <w:pStyle w:val="Odstavecseseznamem"/>
        <w:numPr>
          <w:ilvl w:val="0"/>
          <w:numId w:val="7"/>
        </w:numPr>
        <w:jc w:val="both"/>
      </w:pPr>
      <w:r>
        <w:t>starosta MČ – vedoucí týmu</w:t>
      </w:r>
    </w:p>
    <w:p w:rsidR="00C62C36" w:rsidRDefault="00C62C36" w:rsidP="00C62C36">
      <w:pPr>
        <w:pStyle w:val="Odstavecseseznamem"/>
        <w:numPr>
          <w:ilvl w:val="0"/>
          <w:numId w:val="7"/>
        </w:numPr>
        <w:jc w:val="both"/>
      </w:pPr>
      <w:r>
        <w:t>zástupkyně starosty – zástupc</w:t>
      </w:r>
      <w:r w:rsidR="0058541C">
        <w:t>i</w:t>
      </w:r>
      <w:r>
        <w:t xml:space="preserve"> vedoucího týmu</w:t>
      </w:r>
    </w:p>
    <w:p w:rsidR="00C62C36" w:rsidRDefault="00C62C36" w:rsidP="00C62C36">
      <w:pPr>
        <w:pStyle w:val="Odstavecseseznamem"/>
        <w:numPr>
          <w:ilvl w:val="0"/>
          <w:numId w:val="7"/>
        </w:numPr>
        <w:jc w:val="both"/>
      </w:pPr>
      <w:r>
        <w:t>správce rozpočtu MČ</w:t>
      </w:r>
    </w:p>
    <w:p w:rsidR="002E52CE" w:rsidRDefault="00C62C36" w:rsidP="00C62C36">
      <w:pPr>
        <w:jc w:val="both"/>
      </w:pPr>
      <w:r>
        <w:t>Strategický tým</w:t>
      </w:r>
      <w:r w:rsidR="002E52CE">
        <w:t xml:space="preserve"> </w:t>
      </w:r>
      <w:r>
        <w:t>z</w:t>
      </w:r>
      <w:r w:rsidR="002E52CE">
        <w:t>adává úkoly projektovému manažerovi a schvaluje realizaci jednotlivých akcí a projektů. V některých případech je třeba, aby rozhodnutí strategického týmu byla následně schválena také zastupitelstvem městské části. Optimální je realizace pravidelných schů</w:t>
      </w:r>
      <w:r w:rsidR="002A5EA9">
        <w:t>zek strategického týmu nejméně 3</w:t>
      </w:r>
      <w:r w:rsidR="002E52CE">
        <w:t xml:space="preserve"> x ročně,</w:t>
      </w:r>
    </w:p>
    <w:p w:rsidR="002E52CE" w:rsidRDefault="002E52CE" w:rsidP="002E52CE">
      <w:pPr>
        <w:jc w:val="both"/>
      </w:pPr>
      <w:r>
        <w:t>například:</w:t>
      </w:r>
    </w:p>
    <w:p w:rsidR="002E52CE" w:rsidRDefault="002E52CE" w:rsidP="002E52CE">
      <w:pPr>
        <w:jc w:val="both"/>
      </w:pPr>
      <w:r>
        <w:t>• listopad, prosinec: příprava akčního plánu na následující rok a jeho provázání s rozpočtem,</w:t>
      </w:r>
    </w:p>
    <w:p w:rsidR="002E52CE" w:rsidRDefault="002E52CE" w:rsidP="002E52CE">
      <w:pPr>
        <w:jc w:val="both"/>
      </w:pPr>
      <w:r>
        <w:t>• leden: zadání a rozpracování jednotlivých projektů</w:t>
      </w:r>
      <w:r w:rsidR="00725930">
        <w:t xml:space="preserve">, </w:t>
      </w:r>
      <w:r>
        <w:t xml:space="preserve">zhodnocení </w:t>
      </w:r>
      <w:r w:rsidR="00725930">
        <w:t>projektů z předchozího</w:t>
      </w:r>
      <w:r>
        <w:t xml:space="preserve"> roku,</w:t>
      </w:r>
    </w:p>
    <w:p w:rsidR="002E52CE" w:rsidRDefault="002E52CE" w:rsidP="002E52CE">
      <w:pPr>
        <w:jc w:val="both"/>
      </w:pPr>
      <w:r>
        <w:t>• květen-červen: průběžná kontrola plnění jednotlivých úkolů a realizace jednotlivých projektů.</w:t>
      </w:r>
    </w:p>
    <w:p w:rsidR="002E52CE" w:rsidRDefault="002E52CE" w:rsidP="002E52CE">
      <w:pPr>
        <w:jc w:val="both"/>
      </w:pPr>
      <w:r>
        <w:t xml:space="preserve">Projektový manažer je hlavním výkonným pracovníkem. Na základě rozhodnutí strategického týmu zadává přípravu a realizaci jednotlivých projektů a akcí garantům jednotlivých opatření a dalším subjektům, které projekty rozpracují po odborné stránce (technické náležitosti, rozpočet apod.). </w:t>
      </w:r>
    </w:p>
    <w:p w:rsidR="002E52CE" w:rsidRDefault="002E52CE" w:rsidP="002E52CE">
      <w:pPr>
        <w:jc w:val="both"/>
      </w:pPr>
      <w:r>
        <w:t>Projektový manažer má za úkol přípravu jednotlivých projektů a také průběžný monitoring možností financování projektů z externích zdrojů, zejména ze strukturálních fondů EU.</w:t>
      </w:r>
    </w:p>
    <w:p w:rsidR="002E52CE" w:rsidRDefault="002E52CE" w:rsidP="002E52CE">
      <w:pPr>
        <w:jc w:val="both"/>
      </w:pPr>
      <w:r>
        <w:t>Garanti jednotlivých opatření zodpovídají na základě pověření ze strany manažera za realizaci projektů a akcí, z nichž se dané opatření skládá. Zodpovídají za odborné řešení projektu a za přípravu projektového listu.</w:t>
      </w:r>
    </w:p>
    <w:p w:rsidR="002E52CE" w:rsidRDefault="002E52CE" w:rsidP="002E52CE">
      <w:pPr>
        <w:jc w:val="both"/>
      </w:pPr>
      <w:r>
        <w:t>Kromě výše uvedených subjektů je zejména u investičních a neinvestičních akcí a částečně i u organizačních aktivit nutná součinnost dalších aktérů, kteří rozpracují konkrétní projekt po odborné stránce (technické, ekonomické, organizační apod.).</w:t>
      </w:r>
    </w:p>
    <w:p w:rsidR="002E52CE" w:rsidRDefault="002E52CE" w:rsidP="002E52CE">
      <w:pPr>
        <w:jc w:val="both"/>
      </w:pPr>
    </w:p>
    <w:p w:rsidR="002E52CE" w:rsidRPr="002E52CE" w:rsidRDefault="002E52CE" w:rsidP="0014664C">
      <w:pPr>
        <w:pStyle w:val="Nadpis2"/>
        <w:numPr>
          <w:ilvl w:val="1"/>
          <w:numId w:val="5"/>
        </w:numPr>
      </w:pPr>
      <w:bookmarkStart w:id="10" w:name="_Toc341100077"/>
      <w:r w:rsidRPr="002E52CE">
        <w:lastRenderedPageBreak/>
        <w:t>Organizační změny – systém projektového řízení</w:t>
      </w:r>
      <w:bookmarkEnd w:id="10"/>
    </w:p>
    <w:p w:rsidR="002E52CE" w:rsidRDefault="002E52CE" w:rsidP="002E52CE">
      <w:pPr>
        <w:jc w:val="both"/>
      </w:pPr>
      <w:r>
        <w:t>Strategický plán obsahuje soubor logicky provázaných projektů, jejichž realizace by měla vést k postupnému naplnění rozvojové vize. Předpokladem pro úspěšnou realizaci plánu je zavedení systému projektového řízení na úřadě městské části. Tento systé</w:t>
      </w:r>
      <w:r w:rsidR="000972A0">
        <w:t xml:space="preserve">m definuje proces identifikace, </w:t>
      </w:r>
      <w:r>
        <w:t>hodnocení a schvalování projektů pro podporu v rámci strategick</w:t>
      </w:r>
      <w:r w:rsidR="000972A0">
        <w:t xml:space="preserve">ého plánu a vymezuje kompetence </w:t>
      </w:r>
      <w:r>
        <w:t>a úkoly příslušných orgánů městské části. Cílem systémového přístu</w:t>
      </w:r>
      <w:r w:rsidR="000972A0">
        <w:t xml:space="preserve">pu k implementaci strategického </w:t>
      </w:r>
      <w:r>
        <w:t xml:space="preserve">plánu je zvýšení </w:t>
      </w:r>
      <w:r w:rsidR="00725930">
        <w:t>úspěšnosti</w:t>
      </w:r>
      <w:r>
        <w:t xml:space="preserve"> městské části při realizaci projektů a vytv</w:t>
      </w:r>
      <w:r w:rsidR="000972A0">
        <w:t xml:space="preserve">oření transparentního prostředí </w:t>
      </w:r>
      <w:r>
        <w:t>pro předkladatele projektových záměrů.</w:t>
      </w:r>
    </w:p>
    <w:p w:rsidR="002E52CE" w:rsidRDefault="002E52CE" w:rsidP="002E52CE">
      <w:pPr>
        <w:jc w:val="both"/>
      </w:pPr>
      <w:r>
        <w:t>Návrh systému projektového řízení s vazbou na strategický plán městské části bude vy</w:t>
      </w:r>
      <w:r w:rsidR="000972A0">
        <w:t xml:space="preserve">cházet </w:t>
      </w:r>
      <w:r>
        <w:t>z následujících principů:</w:t>
      </w:r>
    </w:p>
    <w:p w:rsidR="002E52CE" w:rsidRDefault="000972A0" w:rsidP="002E52CE">
      <w:pPr>
        <w:jc w:val="both"/>
      </w:pPr>
      <w:r>
        <w:t>1</w:t>
      </w:r>
      <w:r w:rsidR="002E52CE">
        <w:t>) Jednoduchost procedur a transparentnost systému</w:t>
      </w:r>
    </w:p>
    <w:p w:rsidR="002E52CE" w:rsidRDefault="002E52CE" w:rsidP="002E52CE">
      <w:pPr>
        <w:jc w:val="both"/>
      </w:pPr>
      <w:r>
        <w:t>Systém projektového řízení musí být jednoduchý a transparentní</w:t>
      </w:r>
      <w:r w:rsidR="000972A0">
        <w:t xml:space="preserve"> pro všechny dotčené subjekty – </w:t>
      </w:r>
      <w:r>
        <w:t>volené i výkonné orgány městské části i další subjekty. Cílem je vytvoření efektiv</w:t>
      </w:r>
      <w:r w:rsidR="000972A0">
        <w:t xml:space="preserve">ního systému, </w:t>
      </w:r>
      <w:r>
        <w:t>který nebude vytvářet vysoké nároky na zdroje městské části (f</w:t>
      </w:r>
      <w:r w:rsidR="000972A0">
        <w:t xml:space="preserve">inanční, časové) a zároveň bude </w:t>
      </w:r>
      <w:r>
        <w:t>garantovat transparentní podporu kvalitním projektovým záměrům.</w:t>
      </w:r>
    </w:p>
    <w:p w:rsidR="002E52CE" w:rsidRDefault="000972A0" w:rsidP="002E52CE">
      <w:pPr>
        <w:jc w:val="both"/>
      </w:pPr>
      <w:r>
        <w:t>2</w:t>
      </w:r>
      <w:r w:rsidR="002E52CE">
        <w:t>) Využití existující organizační struktury</w:t>
      </w:r>
    </w:p>
    <w:p w:rsidR="002E52CE" w:rsidRDefault="002E52CE" w:rsidP="002E52CE">
      <w:pPr>
        <w:jc w:val="both"/>
      </w:pPr>
      <w:r>
        <w:t xml:space="preserve">Systém projektového řízení bude v maximální možné míře </w:t>
      </w:r>
      <w:r w:rsidR="000972A0">
        <w:t xml:space="preserve">využívat existující organizační </w:t>
      </w:r>
      <w:r>
        <w:t>strukturu městské části a jejího úřadu. Vzhledem k tomu, že v mě</w:t>
      </w:r>
      <w:r w:rsidR="000972A0">
        <w:t xml:space="preserve">stské části funguje strategický </w:t>
      </w:r>
      <w:r>
        <w:t>tým a je zřízena pozice projektového manažera, není t</w:t>
      </w:r>
      <w:r w:rsidR="000972A0">
        <w:t xml:space="preserve">řeba provádět zásadnější revizi </w:t>
      </w:r>
      <w:r>
        <w:t>organizační struktury.</w:t>
      </w:r>
    </w:p>
    <w:p w:rsidR="002E52CE" w:rsidRPr="000972A0" w:rsidRDefault="002E52CE" w:rsidP="0014664C">
      <w:pPr>
        <w:pStyle w:val="Nadpis2"/>
        <w:numPr>
          <w:ilvl w:val="1"/>
          <w:numId w:val="5"/>
        </w:numPr>
      </w:pPr>
      <w:bookmarkStart w:id="11" w:name="_Toc341100078"/>
      <w:r w:rsidRPr="000972A0">
        <w:t>Závazný proces přípravy a r</w:t>
      </w:r>
      <w:r w:rsidR="000972A0" w:rsidRPr="000972A0">
        <w:t xml:space="preserve">ealizace rozvojových projektů – </w:t>
      </w:r>
      <w:r w:rsidRPr="000972A0">
        <w:t>implementační cyklus</w:t>
      </w:r>
      <w:bookmarkEnd w:id="11"/>
    </w:p>
    <w:p w:rsidR="002E52CE" w:rsidRDefault="002E52CE" w:rsidP="002E52CE">
      <w:pPr>
        <w:jc w:val="both"/>
      </w:pPr>
      <w:r>
        <w:t>Implementační cyklus přípravy a realizace jednotlivých projektů je rozdělen do 7 základních kroků:</w:t>
      </w:r>
    </w:p>
    <w:p w:rsidR="002E52CE" w:rsidRDefault="002E52CE" w:rsidP="002E52CE">
      <w:pPr>
        <w:jc w:val="both"/>
      </w:pPr>
      <w:r>
        <w:t>1. Identifikace projektu</w:t>
      </w:r>
    </w:p>
    <w:p w:rsidR="002E52CE" w:rsidRDefault="002E52CE" w:rsidP="002E52CE">
      <w:pPr>
        <w:jc w:val="both"/>
      </w:pPr>
      <w:r>
        <w:t xml:space="preserve">2. </w:t>
      </w:r>
      <w:r w:rsidR="000972A0">
        <w:t>Volba</w:t>
      </w:r>
      <w:r>
        <w:t xml:space="preserve"> projektu </w:t>
      </w:r>
    </w:p>
    <w:p w:rsidR="002E52CE" w:rsidRDefault="002E52CE" w:rsidP="002E52CE">
      <w:pPr>
        <w:jc w:val="both"/>
      </w:pPr>
      <w:r>
        <w:t>3. Návrh projektu</w:t>
      </w:r>
    </w:p>
    <w:p w:rsidR="002E52CE" w:rsidRDefault="002E52CE" w:rsidP="002E52CE">
      <w:pPr>
        <w:jc w:val="both"/>
      </w:pPr>
      <w:r>
        <w:t>4. Posouzení návrhu projektu</w:t>
      </w:r>
    </w:p>
    <w:p w:rsidR="002E52CE" w:rsidRDefault="002E52CE" w:rsidP="002E52CE">
      <w:pPr>
        <w:jc w:val="both"/>
      </w:pPr>
      <w:r>
        <w:t>5. Technicko-ekonomická příprava projektu (vč. případné žádosti o podporu)</w:t>
      </w:r>
    </w:p>
    <w:p w:rsidR="002E52CE" w:rsidRDefault="002E52CE" w:rsidP="002E52CE">
      <w:pPr>
        <w:jc w:val="both"/>
      </w:pPr>
      <w:r>
        <w:t>6. Realizace projektu</w:t>
      </w:r>
    </w:p>
    <w:p w:rsidR="002E52CE" w:rsidRDefault="002E52CE" w:rsidP="002E52CE">
      <w:pPr>
        <w:jc w:val="both"/>
      </w:pPr>
      <w:r>
        <w:t>7. Monitoring projektu</w:t>
      </w:r>
    </w:p>
    <w:p w:rsidR="0014664C" w:rsidRDefault="0014664C" w:rsidP="000972A0">
      <w:pPr>
        <w:jc w:val="both"/>
        <w:rPr>
          <w:b/>
        </w:rPr>
      </w:pPr>
    </w:p>
    <w:p w:rsidR="000972A0" w:rsidRPr="000972A0" w:rsidRDefault="000972A0" w:rsidP="000972A0">
      <w:pPr>
        <w:jc w:val="both"/>
        <w:rPr>
          <w:b/>
        </w:rPr>
      </w:pPr>
      <w:r w:rsidRPr="000972A0">
        <w:rPr>
          <w:b/>
        </w:rPr>
        <w:t>Identifikace projektu</w:t>
      </w:r>
    </w:p>
    <w:p w:rsidR="000972A0" w:rsidRDefault="000972A0" w:rsidP="000972A0">
      <w:pPr>
        <w:jc w:val="both"/>
      </w:pPr>
      <w:r>
        <w:t>V prvním kroku je městskou částí identifikován projekt. Součástí je především identifikace finanční náročnosti, obsahového zaměření a možného garanta a předkladatele projektu. Identifikované projekty jsou součástí jednotlivých opatření jako obecně formulované aktivity.</w:t>
      </w:r>
    </w:p>
    <w:p w:rsidR="000972A0" w:rsidRPr="000972A0" w:rsidRDefault="000972A0" w:rsidP="000972A0">
      <w:pPr>
        <w:jc w:val="both"/>
        <w:rPr>
          <w:b/>
        </w:rPr>
      </w:pPr>
      <w:r w:rsidRPr="000972A0">
        <w:rPr>
          <w:b/>
        </w:rPr>
        <w:lastRenderedPageBreak/>
        <w:t>Volba projektu</w:t>
      </w:r>
    </w:p>
    <w:p w:rsidR="000972A0" w:rsidRDefault="000972A0" w:rsidP="000972A0">
      <w:pPr>
        <w:jc w:val="both"/>
      </w:pPr>
      <w:r>
        <w:t>Má-li projekt získat podporu, tak je pro plné nebo částečné financování ze strany městské části nezbytné, aby splňoval tři zásadní kritéria:</w:t>
      </w:r>
    </w:p>
    <w:p w:rsidR="000972A0" w:rsidRDefault="000972A0" w:rsidP="000972A0">
      <w:pPr>
        <w:jc w:val="both"/>
      </w:pPr>
      <w:r>
        <w:t>1. Musí tento projekt naplňovat jeden nebo více cílů strategického plánu a přispívat k naplňování jeho vize.</w:t>
      </w:r>
    </w:p>
    <w:p w:rsidR="000972A0" w:rsidRDefault="000972A0" w:rsidP="000972A0">
      <w:pPr>
        <w:jc w:val="both"/>
      </w:pPr>
      <w:r>
        <w:t>2. Musí být financovatelný, tj. splňovat formální i obsahové podmínky pro využití zdrojů z rozpočtu městské části. Musí být známé prostředky, které budou využity na projekt nebo alespoň na projektovou dokumentaci. Výhodu mají projekty, kde existuje možnost spolufinancování z externích zdrojů, např. ze strukturálních fondů EU. Součástí této etapy je tedy také identifikace možností externího spolufinancování projektu.</w:t>
      </w:r>
    </w:p>
    <w:p w:rsidR="000972A0" w:rsidRDefault="000972A0" w:rsidP="000972A0">
      <w:pPr>
        <w:jc w:val="both"/>
      </w:pPr>
      <w:r>
        <w:t>3. Musí projít závazným procesem pro přípravu a realizaci rozvojových projektů. Výběr projektů provádí strategický tým v pravidelném cyklu jednoho roku, případně je následně schvaluje zastupitelstvo městské části. Vybrány jsou ty projekty, u kterých se očekává zahájení realizace v horizontu příštího roku. Výběr je prováděn na základě kritérií. Mezi klíčová kritéria patří:</w:t>
      </w:r>
    </w:p>
    <w:p w:rsidR="000972A0" w:rsidRDefault="000972A0" w:rsidP="000972A0">
      <w:pPr>
        <w:jc w:val="both"/>
      </w:pPr>
      <w:r>
        <w:t>• časová priorita</w:t>
      </w:r>
    </w:p>
    <w:p w:rsidR="000972A0" w:rsidRDefault="000972A0" w:rsidP="000972A0">
      <w:pPr>
        <w:jc w:val="both"/>
      </w:pPr>
      <w:r>
        <w:t>• finanční náročnost vč. pravděpodobnosti získání dotace</w:t>
      </w:r>
    </w:p>
    <w:p w:rsidR="000972A0" w:rsidRDefault="000972A0" w:rsidP="000972A0">
      <w:pPr>
        <w:jc w:val="both"/>
      </w:pPr>
      <w:r>
        <w:t>• organizační náročnost</w:t>
      </w:r>
    </w:p>
    <w:p w:rsidR="000972A0" w:rsidRPr="00B854F5" w:rsidRDefault="000972A0" w:rsidP="000972A0">
      <w:pPr>
        <w:jc w:val="both"/>
        <w:rPr>
          <w:b/>
        </w:rPr>
      </w:pPr>
      <w:r w:rsidRPr="00B854F5">
        <w:rPr>
          <w:b/>
        </w:rPr>
        <w:t>Návrh projektu</w:t>
      </w:r>
    </w:p>
    <w:p w:rsidR="000972A0" w:rsidRDefault="00B854F5" w:rsidP="000972A0">
      <w:pPr>
        <w:jc w:val="both"/>
      </w:pPr>
      <w:r>
        <w:t>S</w:t>
      </w:r>
      <w:r w:rsidR="000972A0">
        <w:t xml:space="preserve">estaví </w:t>
      </w:r>
      <w:r>
        <w:t xml:space="preserve">se </w:t>
      </w:r>
      <w:r w:rsidR="000972A0">
        <w:t xml:space="preserve">tzv. </w:t>
      </w:r>
      <w:r>
        <w:t>počáteční projekt</w:t>
      </w:r>
      <w:r w:rsidR="000972A0">
        <w:t>, který obsahuje podrobn</w:t>
      </w:r>
      <w:r>
        <w:t xml:space="preserve">ější informace o projektu a mj. </w:t>
      </w:r>
      <w:r w:rsidR="000972A0">
        <w:t>definuje rámcové technické</w:t>
      </w:r>
      <w:r>
        <w:t xml:space="preserve"> či obsahové řešení a rozpočet. </w:t>
      </w:r>
      <w:r w:rsidR="000972A0">
        <w:t>Součástí návrhu významnějších projektů je také uspořádání veř</w:t>
      </w:r>
      <w:r>
        <w:t xml:space="preserve">ejného projednání, kde bude mít </w:t>
      </w:r>
      <w:r w:rsidR="000972A0">
        <w:t>každý občan možnost vyjádřit se k obsahové stránce projektu. Námět</w:t>
      </w:r>
      <w:r>
        <w:t>y ze strany veřejnosti následně lze</w:t>
      </w:r>
      <w:r w:rsidR="000972A0">
        <w:t xml:space="preserve"> zařadit do návrhu projektu.</w:t>
      </w:r>
    </w:p>
    <w:p w:rsidR="000972A0" w:rsidRPr="00B854F5" w:rsidRDefault="000972A0" w:rsidP="000972A0">
      <w:pPr>
        <w:jc w:val="both"/>
        <w:rPr>
          <w:b/>
        </w:rPr>
      </w:pPr>
      <w:r w:rsidRPr="00B854F5">
        <w:rPr>
          <w:b/>
        </w:rPr>
        <w:t>Posouzení návrhu projektu</w:t>
      </w:r>
    </w:p>
    <w:p w:rsidR="000972A0" w:rsidRDefault="000972A0" w:rsidP="000972A0">
      <w:pPr>
        <w:jc w:val="both"/>
      </w:pPr>
      <w:r>
        <w:t xml:space="preserve">Návrh projektu je předložen k posouzení </w:t>
      </w:r>
      <w:r w:rsidR="004A27EB">
        <w:t>strategickému týmu</w:t>
      </w:r>
      <w:r>
        <w:t xml:space="preserve"> městské části</w:t>
      </w:r>
      <w:r w:rsidR="00B854F5">
        <w:t>.</w:t>
      </w:r>
      <w:r>
        <w:t xml:space="preserve"> Na základě </w:t>
      </w:r>
      <w:r w:rsidR="00B854F5">
        <w:t xml:space="preserve">jeho </w:t>
      </w:r>
      <w:r>
        <w:t>připomínek může být návrh projektu upraven nebo přepracován. Finální verz</w:t>
      </w:r>
      <w:r w:rsidR="00B854F5">
        <w:t xml:space="preserve">e návrhu projektu je předložena </w:t>
      </w:r>
      <w:r>
        <w:t xml:space="preserve">k posouzení </w:t>
      </w:r>
      <w:r w:rsidR="00B854F5">
        <w:t>zastupitelstvu městské části</w:t>
      </w:r>
      <w:r>
        <w:t>. Výsledkem tohoto hodnocen</w:t>
      </w:r>
      <w:r w:rsidR="00B854F5">
        <w:t xml:space="preserve">í je schválení nebo neschválení </w:t>
      </w:r>
      <w:r>
        <w:t>projektu.</w:t>
      </w:r>
    </w:p>
    <w:p w:rsidR="000972A0" w:rsidRPr="00B854F5" w:rsidRDefault="000972A0" w:rsidP="000972A0">
      <w:pPr>
        <w:jc w:val="both"/>
        <w:rPr>
          <w:b/>
        </w:rPr>
      </w:pPr>
      <w:r w:rsidRPr="00B854F5">
        <w:rPr>
          <w:b/>
        </w:rPr>
        <w:t>Technicko-ekonomická příprava projektu (vč. případné žádosti o podporu)</w:t>
      </w:r>
    </w:p>
    <w:p w:rsidR="000972A0" w:rsidRDefault="000972A0" w:rsidP="000972A0">
      <w:pPr>
        <w:jc w:val="both"/>
      </w:pPr>
      <w:r>
        <w:t>T</w:t>
      </w:r>
      <w:r w:rsidR="00B854F5">
        <w:t xml:space="preserve">yto projekty zpravidla vyžadují </w:t>
      </w:r>
      <w:r>
        <w:t>zpracování relativně rozsáhlé technicko-ekonomické dokumentace s nezanedbate</w:t>
      </w:r>
      <w:r w:rsidR="00B854F5">
        <w:t xml:space="preserve">lnými finančními </w:t>
      </w:r>
      <w:r>
        <w:t>náklady (studie proveditelnosti, analýza nákladů a přínosů, posou</w:t>
      </w:r>
      <w:r w:rsidR="00B854F5">
        <w:t xml:space="preserve">zení dopadu projektu na životní </w:t>
      </w:r>
      <w:r>
        <w:t xml:space="preserve">prostředí atp.). Podpora projektů, které předpokládají čerpání </w:t>
      </w:r>
      <w:r w:rsidR="00B854F5">
        <w:t xml:space="preserve">prostředků z vnějších fondů, je </w:t>
      </w:r>
      <w:r>
        <w:t xml:space="preserve">v další fázi podmíněna schválením projektu ze strany řídících </w:t>
      </w:r>
      <w:r w:rsidR="00B854F5">
        <w:t xml:space="preserve">struktur příslušného operačního </w:t>
      </w:r>
      <w:r>
        <w:t>programu.</w:t>
      </w:r>
    </w:p>
    <w:p w:rsidR="000972A0" w:rsidRPr="00B854F5" w:rsidRDefault="000972A0" w:rsidP="000972A0">
      <w:pPr>
        <w:jc w:val="both"/>
        <w:rPr>
          <w:b/>
        </w:rPr>
      </w:pPr>
      <w:r w:rsidRPr="00B854F5">
        <w:rPr>
          <w:b/>
        </w:rPr>
        <w:t>Realizace projektu</w:t>
      </w:r>
    </w:p>
    <w:p w:rsidR="000972A0" w:rsidRDefault="000972A0" w:rsidP="000972A0">
      <w:pPr>
        <w:jc w:val="both"/>
      </w:pPr>
      <w:r>
        <w:lastRenderedPageBreak/>
        <w:t>Schválené projekty jsou realizovány v souladu s projektovou dok</w:t>
      </w:r>
      <w:r w:rsidR="00B854F5">
        <w:t xml:space="preserve">umentací. Za realizaci odpovídá </w:t>
      </w:r>
      <w:r>
        <w:t>jmenovaný garant projektu. Součástí realizace je plnění informační povinno</w:t>
      </w:r>
      <w:r w:rsidR="00B854F5">
        <w:t xml:space="preserve">sti vůči poskytovatelům </w:t>
      </w:r>
      <w:r>
        <w:t>zdrojů. Výstupem je realizovaný projekt. Některé projekty mohou b</w:t>
      </w:r>
      <w:r w:rsidR="00B854F5">
        <w:t xml:space="preserve">ýt víceleté – v takovém případě </w:t>
      </w:r>
      <w:r>
        <w:t xml:space="preserve">budou automaticky zahrnuty také do akčního plánu na následující </w:t>
      </w:r>
      <w:proofErr w:type="gramStart"/>
      <w:r>
        <w:t>rok(y).</w:t>
      </w:r>
      <w:proofErr w:type="gramEnd"/>
    </w:p>
    <w:p w:rsidR="000972A0" w:rsidRPr="00B854F5" w:rsidRDefault="000972A0" w:rsidP="000972A0">
      <w:pPr>
        <w:jc w:val="both"/>
        <w:rPr>
          <w:b/>
        </w:rPr>
      </w:pPr>
      <w:r w:rsidRPr="00B854F5">
        <w:rPr>
          <w:b/>
        </w:rPr>
        <w:t>Monitorování projektu</w:t>
      </w:r>
    </w:p>
    <w:p w:rsidR="000972A0" w:rsidRDefault="000972A0" w:rsidP="000972A0">
      <w:pPr>
        <w:jc w:val="both"/>
      </w:pPr>
      <w:r>
        <w:t>Projektový manažer předkládá strategickému týmu monitoro</w:t>
      </w:r>
      <w:r w:rsidR="00B854F5">
        <w:t xml:space="preserve">vací zprávy o průběhu realizace </w:t>
      </w:r>
      <w:r>
        <w:t>projektu, včetně informací o nápravných či preventivních opatř</w:t>
      </w:r>
      <w:r w:rsidR="00B854F5">
        <w:t xml:space="preserve">ení. V případě spolufinancování </w:t>
      </w:r>
      <w:r>
        <w:t>projektů z externích zdrojů je třeba ze strany žadatele rovněž pr</w:t>
      </w:r>
      <w:r w:rsidR="00B854F5">
        <w:t xml:space="preserve">ůběžně zpracovávat monitorovací </w:t>
      </w:r>
      <w:r>
        <w:t>zprávy dle podmínek př</w:t>
      </w:r>
      <w:r w:rsidR="00B854F5">
        <w:t xml:space="preserve">íslušného poskytovatele zdrojů. </w:t>
      </w:r>
      <w:r>
        <w:t>Současně probíhá monitoring toho, jak dané projekty přispívají k napl</w:t>
      </w:r>
      <w:r w:rsidR="00B854F5">
        <w:t xml:space="preserve">nění cílů strategického plánu a </w:t>
      </w:r>
      <w:r>
        <w:t>jak realizace strategického plánu pokročila (které projekty jsou v</w:t>
      </w:r>
      <w:r w:rsidR="00B854F5">
        <w:t xml:space="preserve"> jaké fázi projektového cyklu). </w:t>
      </w:r>
      <w:r>
        <w:t>Výsledky monitoringu slouží jako podklad pro aktualizaci strategické</w:t>
      </w:r>
      <w:r w:rsidR="00B854F5">
        <w:t>ho plánu a identifikaci dalších projektů.</w:t>
      </w:r>
    </w:p>
    <w:p w:rsidR="00B854F5" w:rsidRPr="00725930" w:rsidRDefault="00725930" w:rsidP="00725930">
      <w:pPr>
        <w:pStyle w:val="Nadpis2"/>
        <w:numPr>
          <w:ilvl w:val="1"/>
          <w:numId w:val="5"/>
        </w:numPr>
      </w:pPr>
      <w:r>
        <w:t xml:space="preserve"> </w:t>
      </w:r>
      <w:bookmarkStart w:id="12" w:name="_Toc341100079"/>
      <w:r w:rsidR="00B854F5" w:rsidRPr="00725930">
        <w:t>Indikátory plnění cílů strategického plánu</w:t>
      </w:r>
      <w:bookmarkEnd w:id="12"/>
    </w:p>
    <w:p w:rsidR="00B854F5" w:rsidRDefault="00B854F5" w:rsidP="00B854F5">
      <w:pPr>
        <w:jc w:val="both"/>
      </w:pPr>
      <w:r>
        <w:t>Pro plnění jednotlivých cílů strategického plánu jsou navrženy indikátory.  Jako hlavní</w:t>
      </w:r>
      <w:r w:rsidR="00615757">
        <w:t xml:space="preserve"> úroveň </w:t>
      </w:r>
      <w:r>
        <w:t>konkrétnosti byla zvolena úroveň indikátorů výsledku, které odpovídá úrovni</w:t>
      </w:r>
      <w:r w:rsidR="00615757">
        <w:t xml:space="preserve"> </w:t>
      </w:r>
      <w:r>
        <w:t>opatření strategického plánu. Pro každé opatření je zpravidla navržen jeden indikátor postihující</w:t>
      </w:r>
      <w:r w:rsidR="00615757">
        <w:t xml:space="preserve"> </w:t>
      </w:r>
      <w:r>
        <w:t>dané téma v maximální míře. Přesto je zjevné, že navrženými indikátory nelze měřit vše –</w:t>
      </w:r>
      <w:r w:rsidR="00615757">
        <w:t xml:space="preserve"> </w:t>
      </w:r>
      <w:r>
        <w:t>v takovém případě by sada indikátorů musela být mnohem rozsáhlejší, což by kladlo neúměrně velké</w:t>
      </w:r>
      <w:r w:rsidR="00615757">
        <w:t xml:space="preserve"> </w:t>
      </w:r>
      <w:r>
        <w:t>nároky na jejich měření.</w:t>
      </w:r>
    </w:p>
    <w:p w:rsidR="00B854F5" w:rsidRDefault="00B854F5" w:rsidP="00B854F5">
      <w:pPr>
        <w:jc w:val="both"/>
      </w:pPr>
      <w:r>
        <w:t>Indikátory na úrovni výsledku (typu počet pracovišť, počet projednaných záměrů apod.) jsou</w:t>
      </w:r>
      <w:r w:rsidR="00615757">
        <w:t xml:space="preserve"> </w:t>
      </w:r>
      <w:r>
        <w:t>navrženy jen ve výjimečných případech, a to zejména z důvodu přílišné podrobnosti a slabé zpětné</w:t>
      </w:r>
      <w:r w:rsidR="00615757">
        <w:t xml:space="preserve"> </w:t>
      </w:r>
      <w:r>
        <w:t>vazby směrem k cílům strategického plánu. Dopad strategie bude sledován alespoň jedním</w:t>
      </w:r>
      <w:r w:rsidR="00615757">
        <w:t xml:space="preserve"> </w:t>
      </w:r>
      <w:r>
        <w:t>evropským standardizovaným indikátorem ECI (zejména spokojenost s místním společenstvím)</w:t>
      </w:r>
      <w:r w:rsidR="00615757">
        <w:t xml:space="preserve"> </w:t>
      </w:r>
      <w:r>
        <w:t>v horizontu 2-3 let.</w:t>
      </w:r>
    </w:p>
    <w:p w:rsidR="00B854F5" w:rsidRDefault="00B854F5" w:rsidP="00B854F5">
      <w:pPr>
        <w:jc w:val="both"/>
      </w:pPr>
      <w:r>
        <w:t xml:space="preserve">Přehled jednotlivých indikátorů </w:t>
      </w:r>
      <w:r w:rsidR="00615757">
        <w:t>na úrovni výsledku:</w:t>
      </w:r>
    </w:p>
    <w:tbl>
      <w:tblPr>
        <w:tblStyle w:val="Svtlseznamzvraznn5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44CF9" w:rsidTr="00D4702A">
        <w:trPr>
          <w:cnfStyle w:val="100000000000"/>
        </w:trPr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Priorita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100000000000"/>
            </w:pPr>
            <w:r>
              <w:t>Opatření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100000000000"/>
            </w:pPr>
            <w:r>
              <w:t>Indikátor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100000000000"/>
            </w:pPr>
            <w:r>
              <w:t>Jednotka</w:t>
            </w:r>
          </w:p>
        </w:tc>
      </w:tr>
      <w:tr w:rsidR="00944CF9" w:rsidTr="00D4702A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1.1.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Úpravy povrchu některých ulic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Podíl ulic s kvalitním zpevněným povrchem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%</w:t>
            </w:r>
          </w:p>
        </w:tc>
      </w:tr>
      <w:tr w:rsidR="00944CF9" w:rsidTr="00D4702A"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1.2.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Optimalizace dopravní obslužnosti MHD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Počet spojů obsluhujících MČ Praha – Lysolaje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Počet</w:t>
            </w:r>
          </w:p>
        </w:tc>
      </w:tr>
      <w:tr w:rsidR="00944CF9" w:rsidTr="00D4702A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2.1.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Revitalizace veřejných prostranství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 xml:space="preserve">Plocha nových nebo </w:t>
            </w:r>
            <w:proofErr w:type="spellStart"/>
            <w:r>
              <w:t>zrevitalizovaných</w:t>
            </w:r>
            <w:proofErr w:type="spellEnd"/>
            <w:r>
              <w:t xml:space="preserve"> veřejných prostranství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m²</w:t>
            </w:r>
          </w:p>
        </w:tc>
      </w:tr>
      <w:tr w:rsidR="00944CF9" w:rsidTr="00D4702A"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2.2.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Vytváření míst setkávání a relaxačních míst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 xml:space="preserve">Plocha nových nebo </w:t>
            </w:r>
            <w:proofErr w:type="spellStart"/>
            <w:r>
              <w:t>zrevitalizovaných</w:t>
            </w:r>
            <w:proofErr w:type="spellEnd"/>
            <w:r>
              <w:t xml:space="preserve"> centrálních míst a míst setkávání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m²</w:t>
            </w:r>
          </w:p>
        </w:tc>
      </w:tr>
      <w:tr w:rsidR="00944CF9" w:rsidTr="00D4702A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2.3.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Posílení ploch zeleně</w:t>
            </w:r>
          </w:p>
        </w:tc>
        <w:tc>
          <w:tcPr>
            <w:tcW w:w="2303" w:type="dxa"/>
            <w:vAlign w:val="center"/>
          </w:tcPr>
          <w:p w:rsidR="00944CF9" w:rsidRDefault="004A27EB" w:rsidP="00D4702A">
            <w:pPr>
              <w:jc w:val="center"/>
              <w:cnfStyle w:val="000000100000"/>
            </w:pPr>
            <w:r>
              <w:t>Revitalizace ploch a vytvoření nových ploch zeleně</w:t>
            </w:r>
          </w:p>
        </w:tc>
        <w:tc>
          <w:tcPr>
            <w:tcW w:w="2303" w:type="dxa"/>
            <w:vAlign w:val="center"/>
          </w:tcPr>
          <w:p w:rsidR="00944CF9" w:rsidRDefault="004A27EB" w:rsidP="00D4702A">
            <w:pPr>
              <w:jc w:val="center"/>
              <w:cnfStyle w:val="000000100000"/>
            </w:pPr>
            <w:r>
              <w:t>m²</w:t>
            </w:r>
          </w:p>
        </w:tc>
      </w:tr>
      <w:tr w:rsidR="00944CF9" w:rsidTr="00D4702A"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3.1.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 xml:space="preserve">Rozvoj možnosti kulturního, sportovního a </w:t>
            </w:r>
            <w:r>
              <w:lastRenderedPageBreak/>
              <w:t>volnočasového vyžití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lastRenderedPageBreak/>
              <w:t xml:space="preserve">Počet dětí/dospělých navštěvujících kulturní, sportovní a </w:t>
            </w:r>
            <w:r>
              <w:lastRenderedPageBreak/>
              <w:t>volnočasové aktivity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lastRenderedPageBreak/>
              <w:t>Počet</w:t>
            </w:r>
          </w:p>
        </w:tc>
      </w:tr>
      <w:tr w:rsidR="00944CF9" w:rsidTr="00D4702A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Zkvalitnění školství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Počet dětí navštěvujících ZŠ v MČ Praha – Lysolaje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Počet</w:t>
            </w:r>
          </w:p>
        </w:tc>
      </w:tr>
      <w:tr w:rsidR="00944CF9" w:rsidTr="00D4702A">
        <w:tc>
          <w:tcPr>
            <w:cnfStyle w:val="001000000000"/>
            <w:tcW w:w="2303" w:type="dxa"/>
            <w:vAlign w:val="center"/>
          </w:tcPr>
          <w:p w:rsidR="00944CF9" w:rsidRDefault="00944CF9" w:rsidP="00D4702A">
            <w:pPr>
              <w:jc w:val="center"/>
            </w:pPr>
            <w:r>
              <w:t>4.1.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Zvýšení informovanosti obyvatel a subjektů působících v MČ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Počet metod standardně využívaných MČ při komunikaci s občany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000000"/>
            </w:pPr>
            <w:r>
              <w:t>Počet</w:t>
            </w:r>
          </w:p>
        </w:tc>
      </w:tr>
      <w:tr w:rsidR="00944CF9" w:rsidTr="00D4702A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944CF9" w:rsidRDefault="003A3A3D" w:rsidP="00D4702A">
            <w:pPr>
              <w:jc w:val="center"/>
            </w:pPr>
            <w:r>
              <w:t>4.2</w:t>
            </w:r>
            <w:r w:rsidR="00944CF9">
              <w:t>.</w:t>
            </w:r>
          </w:p>
        </w:tc>
        <w:tc>
          <w:tcPr>
            <w:tcW w:w="2303" w:type="dxa"/>
            <w:vAlign w:val="center"/>
          </w:tcPr>
          <w:p w:rsidR="00944CF9" w:rsidRDefault="00944CF9" w:rsidP="00D4702A">
            <w:pPr>
              <w:jc w:val="center"/>
              <w:cnfStyle w:val="000000100000"/>
            </w:pPr>
            <w:r>
              <w:t>Zlepšení spolupráce s partnerskými organizacemi</w:t>
            </w:r>
          </w:p>
        </w:tc>
        <w:tc>
          <w:tcPr>
            <w:tcW w:w="2303" w:type="dxa"/>
            <w:vAlign w:val="center"/>
          </w:tcPr>
          <w:p w:rsidR="00944CF9" w:rsidRDefault="00D4702A" w:rsidP="00D4702A">
            <w:pPr>
              <w:jc w:val="center"/>
              <w:cnfStyle w:val="000000100000"/>
            </w:pPr>
            <w:r>
              <w:t>Počet společně realizovaných projektů s jednotlivými partnerskými organizacemi</w:t>
            </w:r>
          </w:p>
        </w:tc>
        <w:tc>
          <w:tcPr>
            <w:tcW w:w="2303" w:type="dxa"/>
            <w:vAlign w:val="center"/>
          </w:tcPr>
          <w:p w:rsidR="00944CF9" w:rsidRDefault="00D4702A" w:rsidP="00D4702A">
            <w:pPr>
              <w:jc w:val="center"/>
              <w:cnfStyle w:val="000000100000"/>
            </w:pPr>
            <w:r>
              <w:t>Počet</w:t>
            </w:r>
          </w:p>
        </w:tc>
      </w:tr>
      <w:tr w:rsidR="00D4702A" w:rsidTr="00D4702A">
        <w:tc>
          <w:tcPr>
            <w:cnfStyle w:val="001000000000"/>
            <w:tcW w:w="2303" w:type="dxa"/>
            <w:vAlign w:val="center"/>
          </w:tcPr>
          <w:p w:rsidR="00D4702A" w:rsidRDefault="003A3A3D" w:rsidP="00D4702A">
            <w:pPr>
              <w:jc w:val="center"/>
            </w:pPr>
            <w:r>
              <w:t>4.3</w:t>
            </w:r>
            <w:r w:rsidR="00D4702A">
              <w:t>.</w:t>
            </w:r>
          </w:p>
        </w:tc>
        <w:tc>
          <w:tcPr>
            <w:tcW w:w="2303" w:type="dxa"/>
            <w:vAlign w:val="center"/>
          </w:tcPr>
          <w:p w:rsidR="00D4702A" w:rsidRDefault="00D4702A" w:rsidP="00D4702A">
            <w:pPr>
              <w:jc w:val="center"/>
              <w:cnfStyle w:val="000000000000"/>
            </w:pPr>
            <w:r>
              <w:t>Posilování zapojení občanů do rozvoje MČ</w:t>
            </w:r>
          </w:p>
        </w:tc>
        <w:tc>
          <w:tcPr>
            <w:tcW w:w="2303" w:type="dxa"/>
            <w:vAlign w:val="center"/>
          </w:tcPr>
          <w:p w:rsidR="00D4702A" w:rsidRDefault="00D4702A" w:rsidP="00D4702A">
            <w:pPr>
              <w:jc w:val="center"/>
              <w:cnfStyle w:val="000000000000"/>
            </w:pPr>
            <w:r>
              <w:t>Počet občanů navštěvujících veřejná projednání</w:t>
            </w:r>
          </w:p>
        </w:tc>
        <w:tc>
          <w:tcPr>
            <w:tcW w:w="2303" w:type="dxa"/>
            <w:vAlign w:val="center"/>
          </w:tcPr>
          <w:p w:rsidR="00D4702A" w:rsidRDefault="00D4702A" w:rsidP="00D4702A">
            <w:pPr>
              <w:jc w:val="center"/>
              <w:cnfStyle w:val="000000000000"/>
            </w:pPr>
            <w:r>
              <w:t>Počet</w:t>
            </w:r>
          </w:p>
        </w:tc>
      </w:tr>
    </w:tbl>
    <w:p w:rsidR="00875F49" w:rsidRDefault="00875F49" w:rsidP="00875F49">
      <w:pPr>
        <w:jc w:val="both"/>
      </w:pPr>
    </w:p>
    <w:p w:rsidR="0000516F" w:rsidRDefault="0000516F" w:rsidP="00875F49">
      <w:pPr>
        <w:jc w:val="both"/>
      </w:pPr>
    </w:p>
    <w:p w:rsidR="0000516F" w:rsidRPr="0000516F" w:rsidRDefault="0000516F" w:rsidP="0014664C">
      <w:pPr>
        <w:pStyle w:val="Nadpis1"/>
        <w:numPr>
          <w:ilvl w:val="0"/>
          <w:numId w:val="5"/>
        </w:numPr>
      </w:pPr>
      <w:bookmarkStart w:id="13" w:name="_Toc341100080"/>
      <w:r w:rsidRPr="0000516F">
        <w:t>Rekapitulace zapojení veřejnosti</w:t>
      </w:r>
      <w:bookmarkEnd w:id="13"/>
    </w:p>
    <w:p w:rsidR="0000516F" w:rsidRDefault="0000516F" w:rsidP="0000516F">
      <w:pPr>
        <w:jc w:val="both"/>
      </w:pPr>
      <w:r>
        <w:t>Zapojení veřejnosti do realizace strategického plánu je nezbytným předpokladem pro získání širší podpory pro realizaci jednotlivých projektů a akcí. Současně umožňuje vyslechnout přání veřejnosti již při přípravě jednotlivých projektů a zohlednit je v návrhu projektu. Zapojení veřejnosti je zčásti obsaženo také v samotné návrhové části strategického plánu (priorita 4).</w:t>
      </w:r>
    </w:p>
    <w:p w:rsidR="0000516F" w:rsidRDefault="0000516F" w:rsidP="0000516F">
      <w:pPr>
        <w:jc w:val="both"/>
      </w:pPr>
      <w:r>
        <w:t xml:space="preserve">Hlavní způsoby zapojení veřejnosti do realizace strategického plánu lze shrnout do následujících </w:t>
      </w:r>
      <w:r w:rsidR="00FA6B53">
        <w:t>b</w:t>
      </w:r>
      <w:r>
        <w:t>odů:</w:t>
      </w:r>
    </w:p>
    <w:p w:rsidR="0000516F" w:rsidRDefault="0000516F" w:rsidP="00FA6B53">
      <w:pPr>
        <w:jc w:val="both"/>
      </w:pPr>
      <w:r>
        <w:t xml:space="preserve">• průzkum názorů obyvatel městské části </w:t>
      </w:r>
      <w:r w:rsidR="00FA6B53">
        <w:t>– ankety, diskuze</w:t>
      </w:r>
    </w:p>
    <w:p w:rsidR="0000516F" w:rsidRDefault="0000516F" w:rsidP="00FA6B53">
      <w:pPr>
        <w:jc w:val="both"/>
      </w:pPr>
      <w:r>
        <w:t xml:space="preserve">• </w:t>
      </w:r>
      <w:r w:rsidR="00FA6B53">
        <w:t xml:space="preserve">veřejné projednávání plánovaných projektů během kulturní události Slavnost květů a </w:t>
      </w:r>
      <w:r w:rsidR="00944CF9">
        <w:t>pravidelně</w:t>
      </w:r>
      <w:r w:rsidR="00FA6B53">
        <w:t xml:space="preserve"> na zasedání Zastupitelstva městské části</w:t>
      </w:r>
    </w:p>
    <w:p w:rsidR="0000516F" w:rsidRDefault="0000516F" w:rsidP="0000516F">
      <w:pPr>
        <w:jc w:val="both"/>
      </w:pPr>
      <w:r>
        <w:t>• vývěsky, internetové stránky městské části</w:t>
      </w:r>
      <w:r w:rsidR="00FA6B53">
        <w:t>, Lysolajský zpravodaj</w:t>
      </w:r>
      <w:r>
        <w:t xml:space="preserve"> a další komunikační</w:t>
      </w:r>
      <w:r w:rsidR="00FA6B53">
        <w:t xml:space="preserve"> nástroje seznamující veřejnost </w:t>
      </w:r>
      <w:r>
        <w:t xml:space="preserve">s aktuálním stavem přípravy a realizace </w:t>
      </w:r>
      <w:r w:rsidR="00944CF9">
        <w:t>významných projektů</w:t>
      </w:r>
      <w:r w:rsidR="00FA6B53">
        <w:t xml:space="preserve">, vč. publicity připravovaných, </w:t>
      </w:r>
      <w:r>
        <w:t xml:space="preserve">realizovaných a dokončených projektů a akcí </w:t>
      </w:r>
    </w:p>
    <w:p w:rsidR="00FA6B53" w:rsidRPr="00FA6B53" w:rsidRDefault="00FA6B53" w:rsidP="0014664C">
      <w:pPr>
        <w:pStyle w:val="Nadpis1"/>
        <w:numPr>
          <w:ilvl w:val="0"/>
          <w:numId w:val="5"/>
        </w:numPr>
      </w:pPr>
      <w:bookmarkStart w:id="14" w:name="_Toc341100081"/>
      <w:r w:rsidRPr="00FA6B53">
        <w:t>Akční plán a jeho vazba na rozpočet</w:t>
      </w:r>
      <w:bookmarkEnd w:id="14"/>
    </w:p>
    <w:p w:rsidR="00FA6B53" w:rsidRDefault="00FA6B53" w:rsidP="00FA6B53">
      <w:pPr>
        <w:jc w:val="both"/>
      </w:pPr>
      <w:r>
        <w:t>Akční plán představuje nástroj, který detailněji rozpracovává jednotlivá opatření popsaná v návrhové části. Zatímco opatření jsou zpracována jako obsahově a hierarchicky uspořádaná „témata“, která chce strategický plán řešit, akční plán je souborem konkrétních aktivit, které budou realizované v daném časovém období. V případě strategického plánu rozvoje MČ Praha-Lysolaje budou akční plány připravovány pro jednoletá období</w:t>
      </w:r>
      <w:r w:rsidR="002A5EA9">
        <w:t>. První akční plán (pro rok 2021</w:t>
      </w:r>
      <w:r>
        <w:t>) je zpracován v následujícím textu, další akční plány budou průběžně připravovány pro další roky.</w:t>
      </w:r>
    </w:p>
    <w:p w:rsidR="00FA6B53" w:rsidRPr="00FA6B53" w:rsidRDefault="00FA6B53" w:rsidP="0014664C">
      <w:pPr>
        <w:pStyle w:val="Nadpis1"/>
        <w:numPr>
          <w:ilvl w:val="0"/>
          <w:numId w:val="5"/>
        </w:numPr>
      </w:pPr>
      <w:bookmarkStart w:id="15" w:name="_Toc341100082"/>
      <w:r w:rsidRPr="00FA6B53">
        <w:lastRenderedPageBreak/>
        <w:t>Akční plán na rok 20</w:t>
      </w:r>
      <w:bookmarkEnd w:id="15"/>
      <w:r w:rsidR="002A5EA9">
        <w:t>21</w:t>
      </w:r>
    </w:p>
    <w:p w:rsidR="00FA6B53" w:rsidRDefault="00FA6B53" w:rsidP="00FA6B53">
      <w:pPr>
        <w:jc w:val="both"/>
      </w:pPr>
      <w:r>
        <w:t>Akční plán představuje soubor projektů, které budou realizovány nebo jejichž realizace alespoň bude zahájena v nejbli</w:t>
      </w:r>
      <w:r w:rsidR="002A5EA9">
        <w:t>žším období, tedy během roku 2021</w:t>
      </w:r>
      <w:r>
        <w:t xml:space="preserve">. Akční plán bude zpracováván i pro další období, přičemž je vhodné (ale nikoli nezbytně nutné) dodržet interval 1 roku, během něhož lze realizaci vybraných projektů stihnout. Některé projekty mohou být víceleté a </w:t>
      </w:r>
      <w:r w:rsidR="004A27EB">
        <w:t>s</w:t>
      </w:r>
      <w:r>
        <w:t xml:space="preserve">tanou se tak součástí několika po sobě následujících akčních plánů. </w:t>
      </w:r>
    </w:p>
    <w:p w:rsidR="00FA6B53" w:rsidRDefault="00FA6B53" w:rsidP="00FA6B53">
      <w:pPr>
        <w:jc w:val="both"/>
      </w:pPr>
      <w:r>
        <w:t>Výběr projektů a interv</w:t>
      </w:r>
      <w:r w:rsidR="002A5EA9">
        <w:t>encí do akčního plánu na rok 2021</w:t>
      </w:r>
      <w:r>
        <w:t xml:space="preserve"> vychází z jejich klasifikace, potřeby realizace, z finanční a organizační náročnosti, z možností a pravděpodobnosti získání dotací. V potaz je přirozeně brána i skutečnost, že některé projekty jsou již nyní ve fázi pokročilé přípravy nebo dokonce realizace. Do akčního plánu proto jsou zahrnuty projekty, které mají jednak z časového hlediska vysokou prioritu, a jednak jsou v krátkodobém horizontu proveditelné – existuje jasný záměr a jsou vytvořeny podmínky pro realizaci projektu. S ohledem na výše uvedené podmínky a kritéria jsou do akčního plá</w:t>
      </w:r>
      <w:r w:rsidR="000A5B61">
        <w:t>nu na rok 2021</w:t>
      </w:r>
      <w:r>
        <w:t xml:space="preserve"> zařazeny následující projekty:</w:t>
      </w:r>
    </w:p>
    <w:tbl>
      <w:tblPr>
        <w:tblStyle w:val="Svtlseznamzvraznn5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53EAE" w:rsidTr="00944CF9">
        <w:trPr>
          <w:cnfStyle w:val="100000000000"/>
        </w:trPr>
        <w:tc>
          <w:tcPr>
            <w:cnfStyle w:val="001000000000"/>
            <w:tcW w:w="2303" w:type="dxa"/>
            <w:vAlign w:val="center"/>
          </w:tcPr>
          <w:p w:rsidR="00253EAE" w:rsidRDefault="00253EAE" w:rsidP="00944CF9">
            <w:pPr>
              <w:jc w:val="center"/>
            </w:pPr>
            <w:r>
              <w:t>Projekt</w:t>
            </w:r>
          </w:p>
        </w:tc>
        <w:tc>
          <w:tcPr>
            <w:tcW w:w="2303" w:type="dxa"/>
            <w:vAlign w:val="center"/>
          </w:tcPr>
          <w:p w:rsidR="00253EAE" w:rsidRDefault="00253EAE" w:rsidP="00944CF9">
            <w:pPr>
              <w:jc w:val="center"/>
              <w:cnfStyle w:val="100000000000"/>
            </w:pPr>
            <w:r>
              <w:t>Opatření</w:t>
            </w:r>
          </w:p>
        </w:tc>
        <w:tc>
          <w:tcPr>
            <w:tcW w:w="2303" w:type="dxa"/>
            <w:vAlign w:val="center"/>
          </w:tcPr>
          <w:p w:rsidR="00253EAE" w:rsidRDefault="00253EAE" w:rsidP="00944CF9">
            <w:pPr>
              <w:jc w:val="center"/>
              <w:cnfStyle w:val="100000000000"/>
            </w:pPr>
            <w:r>
              <w:t>Orientační náklady z rozpočtu MČ (Kč)</w:t>
            </w:r>
          </w:p>
        </w:tc>
        <w:tc>
          <w:tcPr>
            <w:tcW w:w="2303" w:type="dxa"/>
            <w:vAlign w:val="center"/>
          </w:tcPr>
          <w:p w:rsidR="00253EAE" w:rsidRDefault="00253EAE" w:rsidP="00944CF9">
            <w:pPr>
              <w:jc w:val="center"/>
              <w:cnfStyle w:val="100000000000"/>
            </w:pPr>
            <w:r>
              <w:t>Externí finanční zdroje</w:t>
            </w:r>
          </w:p>
        </w:tc>
      </w:tr>
      <w:tr w:rsidR="00253EAE" w:rsidTr="00944CF9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253EAE" w:rsidRDefault="009A462D" w:rsidP="00944CF9">
            <w:pPr>
              <w:jc w:val="center"/>
            </w:pPr>
            <w:r>
              <w:t>Optimalizace dopravní obslužnosti MHD spolupráci s Dopravním podnikem hl. m. Prahy a společností ROPID</w:t>
            </w:r>
          </w:p>
        </w:tc>
        <w:tc>
          <w:tcPr>
            <w:tcW w:w="2303" w:type="dxa"/>
            <w:vAlign w:val="center"/>
          </w:tcPr>
          <w:p w:rsidR="00253EAE" w:rsidRDefault="00253EAE" w:rsidP="00944CF9">
            <w:pPr>
              <w:jc w:val="center"/>
              <w:cnfStyle w:val="000000100000"/>
            </w:pPr>
            <w:r>
              <w:t>1.2.</w:t>
            </w:r>
          </w:p>
        </w:tc>
        <w:tc>
          <w:tcPr>
            <w:tcW w:w="2303" w:type="dxa"/>
            <w:vAlign w:val="center"/>
          </w:tcPr>
          <w:p w:rsidR="00253EAE" w:rsidRDefault="00253EAE" w:rsidP="00944CF9">
            <w:pPr>
              <w:jc w:val="center"/>
              <w:cnfStyle w:val="000000100000"/>
            </w:pPr>
            <w:r>
              <w:t>0,-</w:t>
            </w:r>
          </w:p>
        </w:tc>
        <w:tc>
          <w:tcPr>
            <w:tcW w:w="2303" w:type="dxa"/>
            <w:vAlign w:val="center"/>
          </w:tcPr>
          <w:p w:rsidR="00253EAE" w:rsidRDefault="00253EAE" w:rsidP="00944CF9">
            <w:pPr>
              <w:jc w:val="center"/>
              <w:cnfStyle w:val="000000100000"/>
            </w:pPr>
            <w:r>
              <w:t>Ne</w:t>
            </w:r>
          </w:p>
        </w:tc>
      </w:tr>
      <w:tr w:rsidR="00253EAE" w:rsidTr="00944CF9">
        <w:tc>
          <w:tcPr>
            <w:cnfStyle w:val="001000000000"/>
            <w:tcW w:w="2303" w:type="dxa"/>
            <w:vAlign w:val="center"/>
          </w:tcPr>
          <w:p w:rsidR="00253EAE" w:rsidRDefault="002A5EA9" w:rsidP="00944CF9">
            <w:pPr>
              <w:jc w:val="center"/>
            </w:pPr>
            <w:r w:rsidRPr="001C3AB9">
              <w:t>Vybudování obecních garáží a dvora pro uskladnění techniky</w:t>
            </w:r>
          </w:p>
        </w:tc>
        <w:tc>
          <w:tcPr>
            <w:tcW w:w="2303" w:type="dxa"/>
            <w:vAlign w:val="center"/>
          </w:tcPr>
          <w:p w:rsidR="00253EAE" w:rsidRDefault="002A5EA9" w:rsidP="00944CF9">
            <w:pPr>
              <w:jc w:val="center"/>
              <w:cnfStyle w:val="000000000000"/>
            </w:pPr>
            <w:r>
              <w:t>2</w:t>
            </w:r>
            <w:r w:rsidR="00AE6457">
              <w:t>.1.</w:t>
            </w:r>
          </w:p>
        </w:tc>
        <w:tc>
          <w:tcPr>
            <w:tcW w:w="2303" w:type="dxa"/>
            <w:vAlign w:val="center"/>
          </w:tcPr>
          <w:p w:rsidR="00253EAE" w:rsidRDefault="000A5B61" w:rsidP="000A5B61">
            <w:pPr>
              <w:jc w:val="center"/>
              <w:cnfStyle w:val="000000000000"/>
            </w:pPr>
            <w:r>
              <w:t>21</w:t>
            </w:r>
            <w:r w:rsidR="002A5EA9">
              <w:t xml:space="preserve"> </w:t>
            </w:r>
            <w:r w:rsidR="00EB5999">
              <w:t>0</w:t>
            </w:r>
            <w:r w:rsidR="00AE6457">
              <w:t>00 000,- Kč</w:t>
            </w:r>
          </w:p>
        </w:tc>
        <w:tc>
          <w:tcPr>
            <w:tcW w:w="2303" w:type="dxa"/>
            <w:vAlign w:val="center"/>
          </w:tcPr>
          <w:p w:rsidR="00253EAE" w:rsidRDefault="002A5EA9" w:rsidP="009A462D">
            <w:pPr>
              <w:jc w:val="center"/>
              <w:cnfStyle w:val="000000000000"/>
            </w:pPr>
            <w:r>
              <w:t>Ano</w:t>
            </w:r>
          </w:p>
        </w:tc>
      </w:tr>
      <w:tr w:rsidR="00AE6457" w:rsidTr="00944CF9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AE6457" w:rsidRDefault="002A5EA9" w:rsidP="00E91C0A">
            <w:pPr>
              <w:jc w:val="center"/>
            </w:pPr>
            <w:r>
              <w:t>Výstavba komunitního centra</w:t>
            </w:r>
            <w:r w:rsidR="00C62C36">
              <w:t xml:space="preserve"> </w:t>
            </w:r>
            <w:r w:rsidR="000A5B61">
              <w:t>a zahrady</w:t>
            </w:r>
          </w:p>
        </w:tc>
        <w:tc>
          <w:tcPr>
            <w:tcW w:w="2303" w:type="dxa"/>
            <w:vAlign w:val="center"/>
          </w:tcPr>
          <w:p w:rsidR="00AE6457" w:rsidRDefault="00C62C36" w:rsidP="00944CF9">
            <w:pPr>
              <w:jc w:val="center"/>
              <w:cnfStyle w:val="000000100000"/>
            </w:pPr>
            <w:proofErr w:type="gramStart"/>
            <w:r>
              <w:t>2.1.,2.2</w:t>
            </w:r>
            <w:proofErr w:type="gramEnd"/>
            <w:r>
              <w:t>.,3.1.</w:t>
            </w:r>
            <w:r w:rsidR="00EB5999">
              <w:t>,4.2,4.3</w:t>
            </w:r>
          </w:p>
        </w:tc>
        <w:tc>
          <w:tcPr>
            <w:tcW w:w="2303" w:type="dxa"/>
            <w:vAlign w:val="center"/>
          </w:tcPr>
          <w:p w:rsidR="00AE6457" w:rsidRDefault="00EB5999" w:rsidP="00EB5999">
            <w:pPr>
              <w:jc w:val="center"/>
              <w:cnfStyle w:val="000000100000"/>
            </w:pPr>
            <w:r>
              <w:t>48 000 000,- Kč</w:t>
            </w:r>
          </w:p>
        </w:tc>
        <w:tc>
          <w:tcPr>
            <w:tcW w:w="2303" w:type="dxa"/>
            <w:vAlign w:val="center"/>
          </w:tcPr>
          <w:p w:rsidR="00AE6457" w:rsidRDefault="00EB5999" w:rsidP="00944CF9">
            <w:pPr>
              <w:jc w:val="center"/>
              <w:cnfStyle w:val="000000100000"/>
            </w:pPr>
            <w:r>
              <w:t>Ne</w:t>
            </w:r>
          </w:p>
        </w:tc>
      </w:tr>
      <w:tr w:rsidR="00EB5999" w:rsidTr="00944CF9">
        <w:tc>
          <w:tcPr>
            <w:cnfStyle w:val="001000000000"/>
            <w:tcW w:w="2303" w:type="dxa"/>
            <w:vAlign w:val="center"/>
          </w:tcPr>
          <w:p w:rsidR="00EB5999" w:rsidRDefault="00EB5999" w:rsidP="00E91C0A">
            <w:pPr>
              <w:jc w:val="center"/>
            </w:pPr>
            <w:r>
              <w:t>Výstavba nové budovy mateřské školy</w:t>
            </w:r>
          </w:p>
        </w:tc>
        <w:tc>
          <w:tcPr>
            <w:tcW w:w="2303" w:type="dxa"/>
            <w:vAlign w:val="center"/>
          </w:tcPr>
          <w:p w:rsidR="00EB5999" w:rsidRDefault="00EB5999" w:rsidP="00EB5999">
            <w:pPr>
              <w:jc w:val="center"/>
              <w:cnfStyle w:val="000000000000"/>
            </w:pPr>
            <w:proofErr w:type="gramStart"/>
            <w:r>
              <w:t>2.1.,3.2</w:t>
            </w:r>
            <w:proofErr w:type="gramEnd"/>
            <w:r>
              <w:t>.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000000"/>
            </w:pPr>
            <w:r>
              <w:t>40 000 0000,- Kč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000000"/>
            </w:pPr>
            <w:r>
              <w:t>Ano</w:t>
            </w:r>
          </w:p>
        </w:tc>
      </w:tr>
      <w:tr w:rsidR="00EB5999" w:rsidTr="00944CF9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EB5999" w:rsidRDefault="00EB5999" w:rsidP="00E91C0A">
            <w:pPr>
              <w:jc w:val="center"/>
            </w:pPr>
            <w:r>
              <w:t>Výstavba budovy s 26 byty</w:t>
            </w:r>
            <w:r w:rsidR="000A5B61">
              <w:t xml:space="preserve"> a realizace náměstí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100000"/>
            </w:pPr>
            <w:proofErr w:type="gramStart"/>
            <w:r>
              <w:t>2.1.,4.3</w:t>
            </w:r>
            <w:proofErr w:type="gramEnd"/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100000"/>
            </w:pPr>
            <w:r>
              <w:t>90 000 000,- Kč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100000"/>
            </w:pPr>
            <w:r>
              <w:t>Ano</w:t>
            </w:r>
          </w:p>
        </w:tc>
      </w:tr>
      <w:tr w:rsidR="00EB5999" w:rsidTr="00944CF9">
        <w:tc>
          <w:tcPr>
            <w:cnfStyle w:val="001000000000"/>
            <w:tcW w:w="2303" w:type="dxa"/>
            <w:vAlign w:val="center"/>
          </w:tcPr>
          <w:p w:rsidR="00EB5999" w:rsidRDefault="00EB5999" w:rsidP="000A5B61">
            <w:pPr>
              <w:jc w:val="center"/>
            </w:pPr>
            <w:r>
              <w:t>Výstavba společenského domu</w:t>
            </w:r>
            <w:r w:rsidR="000A5B61">
              <w:t xml:space="preserve"> </w:t>
            </w:r>
          </w:p>
        </w:tc>
        <w:tc>
          <w:tcPr>
            <w:tcW w:w="2303" w:type="dxa"/>
            <w:vAlign w:val="center"/>
          </w:tcPr>
          <w:p w:rsidR="00EB5999" w:rsidRDefault="00EB5999" w:rsidP="00354E70">
            <w:pPr>
              <w:jc w:val="center"/>
              <w:cnfStyle w:val="000000000000"/>
            </w:pPr>
            <w:proofErr w:type="gramStart"/>
            <w:r>
              <w:t>2.1.,2.2</w:t>
            </w:r>
            <w:proofErr w:type="gramEnd"/>
            <w:r>
              <w:t>.,3.1.,4.2,4.3</w:t>
            </w:r>
          </w:p>
        </w:tc>
        <w:tc>
          <w:tcPr>
            <w:tcW w:w="2303" w:type="dxa"/>
            <w:vAlign w:val="center"/>
          </w:tcPr>
          <w:p w:rsidR="00EB5999" w:rsidRDefault="000A5B61" w:rsidP="00944CF9">
            <w:pPr>
              <w:jc w:val="center"/>
              <w:cnfStyle w:val="000000000000"/>
            </w:pPr>
            <w:r>
              <w:t>95 000 000,- Kč</w:t>
            </w:r>
          </w:p>
        </w:tc>
        <w:tc>
          <w:tcPr>
            <w:tcW w:w="2303" w:type="dxa"/>
            <w:vAlign w:val="center"/>
          </w:tcPr>
          <w:p w:rsidR="00EB5999" w:rsidRDefault="000A5B61" w:rsidP="00944CF9">
            <w:pPr>
              <w:jc w:val="center"/>
              <w:cnfStyle w:val="000000000000"/>
            </w:pPr>
            <w:r>
              <w:t>Ne</w:t>
            </w:r>
          </w:p>
        </w:tc>
      </w:tr>
      <w:tr w:rsidR="00EB5999" w:rsidTr="00944CF9">
        <w:trPr>
          <w:cnfStyle w:val="000000100000"/>
        </w:trPr>
        <w:tc>
          <w:tcPr>
            <w:cnfStyle w:val="001000000000"/>
            <w:tcW w:w="2303" w:type="dxa"/>
            <w:vAlign w:val="center"/>
          </w:tcPr>
          <w:p w:rsidR="00EB5999" w:rsidRDefault="00EB5999" w:rsidP="00E91C0A">
            <w:pPr>
              <w:jc w:val="center"/>
            </w:pPr>
            <w:r>
              <w:t>Digitalizace ÚMČ</w:t>
            </w:r>
          </w:p>
        </w:tc>
        <w:tc>
          <w:tcPr>
            <w:tcW w:w="2303" w:type="dxa"/>
            <w:vAlign w:val="center"/>
          </w:tcPr>
          <w:p w:rsidR="00EB5999" w:rsidRDefault="00EB5999" w:rsidP="00354E70">
            <w:pPr>
              <w:jc w:val="center"/>
              <w:cnfStyle w:val="000000100000"/>
            </w:pPr>
            <w:proofErr w:type="gramStart"/>
            <w:r>
              <w:t>4.1.,4.2</w:t>
            </w:r>
            <w:proofErr w:type="gramEnd"/>
            <w:r>
              <w:t>.,4.3.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100000"/>
            </w:pPr>
            <w:r>
              <w:t>2 500 000,- Kč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100000"/>
            </w:pPr>
            <w:r>
              <w:t>Je požádáno</w:t>
            </w:r>
          </w:p>
        </w:tc>
      </w:tr>
      <w:tr w:rsidR="00EB5999" w:rsidTr="00944CF9">
        <w:tc>
          <w:tcPr>
            <w:cnfStyle w:val="001000000000"/>
            <w:tcW w:w="2303" w:type="dxa"/>
            <w:vAlign w:val="center"/>
          </w:tcPr>
          <w:p w:rsidR="00EB5999" w:rsidRDefault="00EB5999" w:rsidP="00EB5999">
            <w:pPr>
              <w:jc w:val="center"/>
            </w:pPr>
            <w:r>
              <w:t>Zlepšení hospodaření se srážkovými vodami v lokalitě Dolina</w:t>
            </w:r>
          </w:p>
        </w:tc>
        <w:tc>
          <w:tcPr>
            <w:tcW w:w="2303" w:type="dxa"/>
            <w:vAlign w:val="center"/>
          </w:tcPr>
          <w:p w:rsidR="00EB5999" w:rsidRDefault="00EB5999" w:rsidP="00354E70">
            <w:pPr>
              <w:jc w:val="center"/>
              <w:cnfStyle w:val="000000000000"/>
            </w:pPr>
            <w:r>
              <w:t>2.1.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000000"/>
            </w:pPr>
            <w:r>
              <w:t>5 000 000,- Kč</w:t>
            </w:r>
          </w:p>
        </w:tc>
        <w:tc>
          <w:tcPr>
            <w:tcW w:w="2303" w:type="dxa"/>
            <w:vAlign w:val="center"/>
          </w:tcPr>
          <w:p w:rsidR="00EB5999" w:rsidRDefault="00EB5999" w:rsidP="00944CF9">
            <w:pPr>
              <w:jc w:val="center"/>
              <w:cnfStyle w:val="000000000000"/>
            </w:pPr>
            <w:r>
              <w:t>Ano</w:t>
            </w:r>
          </w:p>
        </w:tc>
      </w:tr>
    </w:tbl>
    <w:p w:rsidR="00FA6B53" w:rsidRDefault="00FA6B53" w:rsidP="00FA6B53">
      <w:pPr>
        <w:jc w:val="both"/>
      </w:pPr>
    </w:p>
    <w:p w:rsidR="0036577F" w:rsidRDefault="0036577F" w:rsidP="0036577F">
      <w:pPr>
        <w:jc w:val="both"/>
      </w:pPr>
      <w:r>
        <w:t xml:space="preserve">Tento Strategický plán byl schválen dne </w:t>
      </w:r>
      <w:proofErr w:type="gramStart"/>
      <w:r w:rsidR="00EB5999">
        <w:t>15.12.2020</w:t>
      </w:r>
      <w:proofErr w:type="gramEnd"/>
      <w:r>
        <w:t xml:space="preserve"> usnesením Zastupitelstva MČ Praha – </w:t>
      </w:r>
      <w:proofErr w:type="spellStart"/>
      <w:r>
        <w:t>Lysolaje</w:t>
      </w:r>
      <w:proofErr w:type="spellEnd"/>
      <w:r>
        <w:t xml:space="preserve"> č. </w:t>
      </w:r>
      <w:r w:rsidR="00A97CE9">
        <w:t>3/15/2020.</w:t>
      </w:r>
    </w:p>
    <w:p w:rsidR="0036577F" w:rsidRDefault="0036577F" w:rsidP="0036577F">
      <w:pPr>
        <w:jc w:val="both"/>
      </w:pPr>
    </w:p>
    <w:p w:rsidR="0036577F" w:rsidRDefault="0036577F" w:rsidP="0036577F">
      <w:pPr>
        <w:spacing w:after="0"/>
        <w:jc w:val="both"/>
      </w:pPr>
      <w:r>
        <w:t xml:space="preserve">Ing. Petr </w:t>
      </w:r>
      <w:proofErr w:type="spellStart"/>
      <w:r>
        <w:t>Hlubuček</w:t>
      </w:r>
      <w:proofErr w:type="spellEnd"/>
    </w:p>
    <w:p w:rsidR="0036577F" w:rsidRDefault="0036577F" w:rsidP="00EB5999">
      <w:pPr>
        <w:spacing w:after="0"/>
        <w:jc w:val="both"/>
      </w:pPr>
      <w:r>
        <w:t xml:space="preserve">starosta MČ Praha - </w:t>
      </w:r>
      <w:proofErr w:type="spellStart"/>
      <w:r>
        <w:t>Lysolaje</w:t>
      </w:r>
      <w:proofErr w:type="spellEnd"/>
    </w:p>
    <w:sectPr w:rsidR="0036577F" w:rsidSect="0014664C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FB" w:rsidRDefault="00BF31FB" w:rsidP="0014664C">
      <w:pPr>
        <w:spacing w:after="0" w:line="240" w:lineRule="auto"/>
      </w:pPr>
      <w:r>
        <w:separator/>
      </w:r>
    </w:p>
  </w:endnote>
  <w:endnote w:type="continuationSeparator" w:id="0">
    <w:p w:rsidR="00BF31FB" w:rsidRDefault="00BF31FB" w:rsidP="0014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154364"/>
      <w:docPartObj>
        <w:docPartGallery w:val="Page Numbers (Bottom of Page)"/>
        <w:docPartUnique/>
      </w:docPartObj>
    </w:sdtPr>
    <w:sdtContent>
      <w:p w:rsidR="0014664C" w:rsidRDefault="002D540D">
        <w:pPr>
          <w:pStyle w:val="Zpat"/>
          <w:jc w:val="right"/>
        </w:pPr>
        <w:r>
          <w:fldChar w:fldCharType="begin"/>
        </w:r>
        <w:r w:rsidR="0014664C">
          <w:instrText>PAGE   \* MERGEFORMAT</w:instrText>
        </w:r>
        <w:r>
          <w:fldChar w:fldCharType="separate"/>
        </w:r>
        <w:r w:rsidR="00A97CE9">
          <w:rPr>
            <w:noProof/>
          </w:rPr>
          <w:t>8</w:t>
        </w:r>
        <w:r>
          <w:fldChar w:fldCharType="end"/>
        </w:r>
      </w:p>
    </w:sdtContent>
  </w:sdt>
  <w:p w:rsidR="0014664C" w:rsidRDefault="001466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FB" w:rsidRDefault="00BF31FB" w:rsidP="0014664C">
      <w:pPr>
        <w:spacing w:after="0" w:line="240" w:lineRule="auto"/>
      </w:pPr>
      <w:r>
        <w:separator/>
      </w:r>
    </w:p>
  </w:footnote>
  <w:footnote w:type="continuationSeparator" w:id="0">
    <w:p w:rsidR="00BF31FB" w:rsidRDefault="00BF31FB" w:rsidP="00146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F73"/>
    <w:multiLevelType w:val="hybridMultilevel"/>
    <w:tmpl w:val="F7C62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511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2ECB5364"/>
    <w:multiLevelType w:val="hybridMultilevel"/>
    <w:tmpl w:val="42B80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124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11AD3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57A466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DC63C0"/>
    <w:multiLevelType w:val="hybridMultilevel"/>
    <w:tmpl w:val="2826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CE"/>
    <w:rsid w:val="0000516F"/>
    <w:rsid w:val="000972A0"/>
    <w:rsid w:val="000A5B61"/>
    <w:rsid w:val="000B3908"/>
    <w:rsid w:val="000D40DF"/>
    <w:rsid w:val="00140765"/>
    <w:rsid w:val="0014664C"/>
    <w:rsid w:val="001A5471"/>
    <w:rsid w:val="0021329A"/>
    <w:rsid w:val="00253EAE"/>
    <w:rsid w:val="002A5EA9"/>
    <w:rsid w:val="002D540D"/>
    <w:rsid w:val="002E52CE"/>
    <w:rsid w:val="002F280C"/>
    <w:rsid w:val="0036577F"/>
    <w:rsid w:val="003A3A3D"/>
    <w:rsid w:val="003F52AD"/>
    <w:rsid w:val="0042194B"/>
    <w:rsid w:val="004616D2"/>
    <w:rsid w:val="004A27EB"/>
    <w:rsid w:val="004E709E"/>
    <w:rsid w:val="0058541C"/>
    <w:rsid w:val="005E3343"/>
    <w:rsid w:val="00615757"/>
    <w:rsid w:val="00670C60"/>
    <w:rsid w:val="007205CF"/>
    <w:rsid w:val="00725930"/>
    <w:rsid w:val="007F1800"/>
    <w:rsid w:val="00875F49"/>
    <w:rsid w:val="00944CF9"/>
    <w:rsid w:val="009A462D"/>
    <w:rsid w:val="009F2C98"/>
    <w:rsid w:val="00A42205"/>
    <w:rsid w:val="00A74528"/>
    <w:rsid w:val="00A97CE9"/>
    <w:rsid w:val="00AE6457"/>
    <w:rsid w:val="00B854F5"/>
    <w:rsid w:val="00BF31FB"/>
    <w:rsid w:val="00C62C36"/>
    <w:rsid w:val="00D4702A"/>
    <w:rsid w:val="00E1156B"/>
    <w:rsid w:val="00E91C0A"/>
    <w:rsid w:val="00EB5999"/>
    <w:rsid w:val="00EC0C3C"/>
    <w:rsid w:val="00F11129"/>
    <w:rsid w:val="00F67638"/>
    <w:rsid w:val="00FA6B53"/>
    <w:rsid w:val="00FC5F4C"/>
    <w:rsid w:val="00FD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765"/>
  </w:style>
  <w:style w:type="paragraph" w:styleId="Nadpis1">
    <w:name w:val="heading 1"/>
    <w:basedOn w:val="Normln"/>
    <w:next w:val="Normln"/>
    <w:link w:val="Nadpis1Char"/>
    <w:uiPriority w:val="9"/>
    <w:qFormat/>
    <w:rsid w:val="00146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6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46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6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4664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46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46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4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4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4C"/>
  </w:style>
  <w:style w:type="paragraph" w:styleId="Zpat">
    <w:name w:val="footer"/>
    <w:basedOn w:val="Normln"/>
    <w:link w:val="ZpatChar"/>
    <w:uiPriority w:val="99"/>
    <w:unhideWhenUsed/>
    <w:rsid w:val="0014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4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4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4664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4664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4664C"/>
    <w:rPr>
      <w:color w:val="0000FF" w:themeColor="hyperlink"/>
      <w:u w:val="single"/>
    </w:rPr>
  </w:style>
  <w:style w:type="table" w:styleId="Svtlseznamzvraznn5">
    <w:name w:val="Light List Accent 5"/>
    <w:basedOn w:val="Normlntabulka"/>
    <w:uiPriority w:val="61"/>
    <w:rsid w:val="00944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6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6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146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6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4664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46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46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4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4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4C"/>
  </w:style>
  <w:style w:type="paragraph" w:styleId="Zpat">
    <w:name w:val="footer"/>
    <w:basedOn w:val="Normln"/>
    <w:link w:val="ZpatChar"/>
    <w:uiPriority w:val="99"/>
    <w:unhideWhenUsed/>
    <w:rsid w:val="0014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4C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4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4664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4664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4664C"/>
    <w:rPr>
      <w:color w:val="0000FF" w:themeColor="hyperlink"/>
      <w:u w:val="single"/>
    </w:rPr>
  </w:style>
  <w:style w:type="table" w:styleId="Svtlseznamzvraznn5">
    <w:name w:val="Light List Accent 5"/>
    <w:basedOn w:val="Normlntabulka"/>
    <w:uiPriority w:val="61"/>
    <w:rsid w:val="00944C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8F9A-88A0-4E48-8D00-40ED72F7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2337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>STRATEGICKÝ PLÁN MČ PRAHA – LYSOLAJE 2016-2020</vt:lpstr>
      <vt:lpstr>Úvod</vt:lpstr>
      <vt:lpstr>Realizace a monitoring strategického plánu</vt:lpstr>
      <vt:lpstr>    </vt:lpstr>
      <vt:lpstr>    </vt:lpstr>
      <vt:lpstr>    Realizace strategického plánu</vt:lpstr>
      <vt:lpstr>    Organizační změny – systém projektového řízení</vt:lpstr>
      <vt:lpstr>    Závazný proces přípravy a realizace rozvojových projektů – implementační cyklus</vt:lpstr>
      <vt:lpstr>    Indikátory plnění cílů strategického plánu</vt:lpstr>
      <vt:lpstr>Rekapitulace zapojení veřejnosti</vt:lpstr>
      <vt:lpstr>Akční plán a jeho vazba na rozpočet</vt:lpstr>
      <vt:lpstr>Akční plán na rok 2016</vt:lpstr>
    </vt:vector>
  </TitlesOfParts>
  <Company>Hewlett-Packard Company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PLÁN MČ PRAHA – LYSOLAJE 2021-2024</dc:title>
  <dc:creator>Ing. Tomáš Mokrejš</dc:creator>
  <cp:lastModifiedBy>Ing. Tomas Mokrejs</cp:lastModifiedBy>
  <cp:revision>5</cp:revision>
  <cp:lastPrinted>2012-11-19T13:41:00Z</cp:lastPrinted>
  <dcterms:created xsi:type="dcterms:W3CDTF">2020-12-03T09:57:00Z</dcterms:created>
  <dcterms:modified xsi:type="dcterms:W3CDTF">2021-11-04T11:00:00Z</dcterms:modified>
</cp:coreProperties>
</file>